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395F6" w14:textId="77777777" w:rsidR="00BD22A0" w:rsidRPr="005E1E23" w:rsidRDefault="00BD22A0" w:rsidP="00BD22A0">
      <w:pPr>
        <w:rPr>
          <w:rFonts w:ascii="Times New Roman" w:hAnsi="Times New Roman" w:cs="Times New Roman"/>
          <w:b/>
          <w:bCs/>
        </w:rPr>
      </w:pPr>
      <w:r w:rsidRPr="005E1E23">
        <w:rPr>
          <w:rFonts w:ascii="Times New Roman" w:hAnsi="Times New Roman" w:cs="Times New Roman"/>
          <w:b/>
          <w:bCs/>
        </w:rPr>
        <w:t>Exchange of information about users</w:t>
      </w:r>
    </w:p>
    <w:p w14:paraId="7BECC911"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 xml:space="preserve">Gastrans will provide the adjacent TSO with a list of user codes that users will use when nominating quantities of natural gas for transport by the Gastrans transport system. Also, the </w:t>
      </w:r>
      <w:r>
        <w:rPr>
          <w:rFonts w:ascii="Times New Roman" w:hAnsi="Times New Roman" w:cs="Times New Roman"/>
          <w:lang w:val="en-US"/>
        </w:rPr>
        <w:t>adjacent</w:t>
      </w:r>
      <w:r w:rsidRPr="005E1E23">
        <w:rPr>
          <w:rFonts w:ascii="Times New Roman" w:hAnsi="Times New Roman" w:cs="Times New Roman"/>
        </w:rPr>
        <w:t xml:space="preserve"> system operators will submit to Gastrans a list of user codes that users will use when nominating quantities of natural gas for the needs of transport by the transport system of adjacent system operators.</w:t>
      </w:r>
    </w:p>
    <w:p w14:paraId="45EA950D" w14:textId="77777777" w:rsidR="00BD22A0" w:rsidRPr="005E1E23" w:rsidRDefault="00BD22A0" w:rsidP="00BD22A0">
      <w:pPr>
        <w:rPr>
          <w:rFonts w:ascii="Times New Roman" w:hAnsi="Times New Roman" w:cs="Times New Roman"/>
          <w:b/>
          <w:bCs/>
        </w:rPr>
      </w:pPr>
      <w:r w:rsidRPr="005E1E23">
        <w:rPr>
          <w:rFonts w:ascii="Times New Roman" w:hAnsi="Times New Roman" w:cs="Times New Roman"/>
          <w:b/>
          <w:bCs/>
        </w:rPr>
        <w:t>Information exchange in the nomination and matching process</w:t>
      </w:r>
    </w:p>
    <w:p w14:paraId="5364E193"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Users of the system in the nomination process inform their TSO about the quantities of gas they intend to transport, via the NOMINIT form, which they submit to the TSO no later than 14.00</w:t>
      </w:r>
      <w:r>
        <w:rPr>
          <w:rFonts w:ascii="Times New Roman" w:hAnsi="Times New Roman" w:cs="Times New Roman"/>
        </w:rPr>
        <w:t>h</w:t>
      </w:r>
      <w:r w:rsidRPr="005E1E23">
        <w:rPr>
          <w:rFonts w:ascii="Times New Roman" w:hAnsi="Times New Roman" w:cs="Times New Roman"/>
        </w:rPr>
        <w:t xml:space="preserve"> on the gas day preceding the gas day to which the nomination refers (D-1).</w:t>
      </w:r>
    </w:p>
    <w:p w14:paraId="602E93AD"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The initiating TSO notifies the adjacent TSO of the announced quantities of gas, via the DELORD form, no later than 14.45</w:t>
      </w:r>
      <w:r>
        <w:rPr>
          <w:rFonts w:ascii="Times New Roman" w:hAnsi="Times New Roman" w:cs="Times New Roman"/>
        </w:rPr>
        <w:t>h</w:t>
      </w:r>
      <w:r w:rsidRPr="005E1E23">
        <w:rPr>
          <w:rFonts w:ascii="Times New Roman" w:hAnsi="Times New Roman" w:cs="Times New Roman"/>
        </w:rPr>
        <w:t xml:space="preserve"> on the gas day preceding the gas day to which the nomination refers (D-1).</w:t>
      </w:r>
    </w:p>
    <w:p w14:paraId="75E4346D"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The matching TSO notifies the adjacent TSO of the confirmed gas quantities, via the DELRES form, no later than 45 minutes after receiving the DELORD from the initiating TSO.</w:t>
      </w:r>
    </w:p>
    <w:p w14:paraId="4EBC3EF8"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TSOs confirms the nominated quantities to its users via the NOMRES form, no later than 16.00</w:t>
      </w:r>
      <w:r>
        <w:rPr>
          <w:rFonts w:ascii="Times New Roman" w:hAnsi="Times New Roman" w:cs="Times New Roman"/>
        </w:rPr>
        <w:t>h</w:t>
      </w:r>
      <w:r w:rsidRPr="005E1E23">
        <w:rPr>
          <w:rFonts w:ascii="Times New Roman" w:hAnsi="Times New Roman" w:cs="Times New Roman"/>
        </w:rPr>
        <w:t xml:space="preserve"> on the gas day preceding the gas day to which the nomination refers (D-1).</w:t>
      </w:r>
    </w:p>
    <w:p w14:paraId="26C89639"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Tabular presentation of pairing processes and time frames:</w:t>
      </w:r>
    </w:p>
    <w:p w14:paraId="7837D249"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At I</w:t>
      </w:r>
      <w:r>
        <w:rPr>
          <w:rFonts w:ascii="Times New Roman" w:hAnsi="Times New Roman" w:cs="Times New Roman"/>
        </w:rPr>
        <w:t>nterconnection point (I</w:t>
      </w:r>
      <w:r w:rsidRPr="005E1E23">
        <w:rPr>
          <w:rFonts w:ascii="Times New Roman" w:hAnsi="Times New Roman" w:cs="Times New Roman"/>
        </w:rPr>
        <w:t>P</w:t>
      </w:r>
      <w:r>
        <w:rPr>
          <w:rFonts w:ascii="Times New Roman" w:hAnsi="Times New Roman" w:cs="Times New Roman"/>
        </w:rPr>
        <w:t>)</w:t>
      </w:r>
      <w:r w:rsidRPr="005E1E23">
        <w:rPr>
          <w:rFonts w:ascii="Times New Roman" w:hAnsi="Times New Roman" w:cs="Times New Roman"/>
        </w:rPr>
        <w:t xml:space="preserve"> Kireevo / Zajecar</w:t>
      </w:r>
    </w:p>
    <w:p w14:paraId="108B2299" w14:textId="77777777" w:rsidR="00BD22A0" w:rsidRPr="005E1E23" w:rsidRDefault="00BD22A0" w:rsidP="00BD22A0">
      <w:pPr>
        <w:rPr>
          <w:rFonts w:ascii="Times New Roman" w:hAnsi="Times New Roman" w:cs="Times New Roman"/>
        </w:rPr>
      </w:pPr>
      <w:r w:rsidRPr="005E1E23">
        <w:rPr>
          <w:rFonts w:ascii="Times New Roman" w:hAnsi="Times New Roman" w:cs="Times New Roman"/>
          <w:noProof/>
        </w:rPr>
        <w:drawing>
          <wp:inline distT="0" distB="0" distL="0" distR="0" wp14:anchorId="6224755E" wp14:editId="2BB77F00">
            <wp:extent cx="4023360" cy="15712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46919" cy="1580478"/>
                    </a:xfrm>
                    <a:prstGeom prst="rect">
                      <a:avLst/>
                    </a:prstGeom>
                  </pic:spPr>
                </pic:pic>
              </a:graphicData>
            </a:graphic>
          </wp:inline>
        </w:drawing>
      </w:r>
    </w:p>
    <w:p w14:paraId="44BB0699"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At IP Srbija</w:t>
      </w:r>
    </w:p>
    <w:p w14:paraId="55F8EC34" w14:textId="77777777" w:rsidR="00BD22A0" w:rsidRPr="005E1E23" w:rsidRDefault="00BD22A0" w:rsidP="00BD22A0">
      <w:pPr>
        <w:rPr>
          <w:rFonts w:ascii="Times New Roman" w:hAnsi="Times New Roman" w:cs="Times New Roman"/>
        </w:rPr>
      </w:pPr>
      <w:r w:rsidRPr="005E1E23">
        <w:rPr>
          <w:rFonts w:ascii="Times New Roman" w:hAnsi="Times New Roman" w:cs="Times New Roman"/>
          <w:noProof/>
        </w:rPr>
        <w:drawing>
          <wp:inline distT="0" distB="0" distL="0" distR="0" wp14:anchorId="398FF366" wp14:editId="62796612">
            <wp:extent cx="4061460" cy="1583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24263" cy="1607941"/>
                    </a:xfrm>
                    <a:prstGeom prst="rect">
                      <a:avLst/>
                    </a:prstGeom>
                  </pic:spPr>
                </pic:pic>
              </a:graphicData>
            </a:graphic>
          </wp:inline>
        </w:drawing>
      </w:r>
    </w:p>
    <w:p w14:paraId="498A71D0" w14:textId="77777777" w:rsidR="00BD22A0" w:rsidRPr="005E1E23" w:rsidRDefault="00BD22A0" w:rsidP="00BD22A0">
      <w:pPr>
        <w:rPr>
          <w:rFonts w:ascii="Times New Roman" w:hAnsi="Times New Roman" w:cs="Times New Roman"/>
          <w:b/>
          <w:bCs/>
          <w:i/>
          <w:iCs/>
        </w:rPr>
      </w:pPr>
      <w:r w:rsidRPr="005E1E23">
        <w:rPr>
          <w:rFonts w:ascii="Times New Roman" w:hAnsi="Times New Roman" w:cs="Times New Roman"/>
          <w:b/>
          <w:bCs/>
          <w:i/>
          <w:iCs/>
        </w:rPr>
        <w:t xml:space="preserve"> * There is currently no natural gas transportation at IP Kiskundoroszma 1200</w:t>
      </w:r>
    </w:p>
    <w:p w14:paraId="5F3D1A1E" w14:textId="77777777" w:rsidR="00BD22A0" w:rsidRPr="005E1E23" w:rsidRDefault="00BD22A0" w:rsidP="00BD22A0">
      <w:pPr>
        <w:rPr>
          <w:rFonts w:ascii="Times New Roman" w:hAnsi="Times New Roman" w:cs="Times New Roman"/>
          <w:b/>
          <w:bCs/>
        </w:rPr>
      </w:pPr>
      <w:r w:rsidRPr="005E1E23">
        <w:rPr>
          <w:rFonts w:ascii="Times New Roman" w:hAnsi="Times New Roman" w:cs="Times New Roman"/>
          <w:b/>
          <w:bCs/>
        </w:rPr>
        <w:t>Allocation of natural gas quantities</w:t>
      </w:r>
    </w:p>
    <w:p w14:paraId="461FDDC5"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 xml:space="preserve">The allocation of quantities delivered and / or taken over by the relevant Network User will be carried out on the basis of harmonized - </w:t>
      </w:r>
      <w:r>
        <w:rPr>
          <w:rFonts w:ascii="Times New Roman" w:hAnsi="Times New Roman" w:cs="Times New Roman"/>
        </w:rPr>
        <w:t>matched</w:t>
      </w:r>
      <w:r w:rsidRPr="005E1E23">
        <w:rPr>
          <w:rFonts w:ascii="Times New Roman" w:hAnsi="Times New Roman" w:cs="Times New Roman"/>
        </w:rPr>
        <w:t xml:space="preserve"> quantities. The unit of allocated quantity is kWh (25°C / 0°C). The daily allocation report, which contains information of the daily quantities and related data </w:t>
      </w:r>
      <w:r w:rsidRPr="005E1E23">
        <w:rPr>
          <w:rFonts w:ascii="Times New Roman" w:hAnsi="Times New Roman" w:cs="Times New Roman"/>
        </w:rPr>
        <w:lastRenderedPageBreak/>
        <w:t xml:space="preserve">on the Gross </w:t>
      </w:r>
      <w:r>
        <w:rPr>
          <w:rFonts w:ascii="Times New Roman" w:hAnsi="Times New Roman" w:cs="Times New Roman"/>
        </w:rPr>
        <w:t>Calorific</w:t>
      </w:r>
      <w:r w:rsidRPr="005E1E23">
        <w:rPr>
          <w:rFonts w:ascii="Times New Roman" w:hAnsi="Times New Roman" w:cs="Times New Roman"/>
        </w:rPr>
        <w:t xml:space="preserve"> Value (25°C / 0°C), will be sent by Gastrans to Bulgartransgaz and Transportgas Srbija.</w:t>
      </w:r>
    </w:p>
    <w:p w14:paraId="4F8BA57C" w14:textId="77777777" w:rsidR="00BD22A0" w:rsidRPr="005E1E23" w:rsidRDefault="00BD22A0" w:rsidP="00BD22A0">
      <w:pPr>
        <w:rPr>
          <w:rFonts w:ascii="Times New Roman" w:hAnsi="Times New Roman" w:cs="Times New Roman"/>
        </w:rPr>
      </w:pPr>
      <w:r>
        <w:rPr>
          <w:rFonts w:ascii="Times New Roman" w:hAnsi="Times New Roman" w:cs="Times New Roman"/>
        </w:rPr>
        <w:t>Allocated</w:t>
      </w:r>
      <w:r w:rsidRPr="005E1E23">
        <w:rPr>
          <w:rFonts w:ascii="Times New Roman" w:hAnsi="Times New Roman" w:cs="Times New Roman"/>
        </w:rPr>
        <w:t xml:space="preserve"> daily quantities for Users represent the last matched quantities in kWh.</w:t>
      </w:r>
    </w:p>
    <w:p w14:paraId="3B58547F" w14:textId="77777777" w:rsidR="00BD22A0" w:rsidRPr="005E1E23" w:rsidRDefault="00BD22A0" w:rsidP="00BD22A0">
      <w:pPr>
        <w:rPr>
          <w:rFonts w:ascii="Times New Roman" w:hAnsi="Times New Roman" w:cs="Times New Roman"/>
        </w:rPr>
      </w:pPr>
      <w:r w:rsidRPr="005E1E23">
        <w:rPr>
          <w:rFonts w:ascii="Times New Roman" w:hAnsi="Times New Roman" w:cs="Times New Roman"/>
        </w:rPr>
        <w:t xml:space="preserve">The total </w:t>
      </w:r>
      <w:r>
        <w:rPr>
          <w:rFonts w:ascii="Times New Roman" w:hAnsi="Times New Roman" w:cs="Times New Roman"/>
        </w:rPr>
        <w:t>quantity</w:t>
      </w:r>
      <w:r w:rsidRPr="005E1E23">
        <w:rPr>
          <w:rFonts w:ascii="Times New Roman" w:hAnsi="Times New Roman" w:cs="Times New Roman"/>
        </w:rPr>
        <w:t xml:space="preserve"> of gas delivered during one month will be determined by the 5th working day of the following month, based on daily gas quantity reports containing updated daily quantities and data on Gross Calorific Value (25°C / 0°C). The official unit is kWh (25°C / 0°C).</w:t>
      </w:r>
    </w:p>
    <w:p w14:paraId="46AE6CCB" w14:textId="77777777" w:rsidR="00BD22A0" w:rsidRPr="005E1E23" w:rsidRDefault="00BD22A0" w:rsidP="00BD22A0">
      <w:pPr>
        <w:rPr>
          <w:rFonts w:ascii="Times New Roman" w:hAnsi="Times New Roman" w:cs="Times New Roman"/>
          <w:b/>
          <w:bCs/>
        </w:rPr>
      </w:pPr>
      <w:r w:rsidRPr="005E1E23">
        <w:rPr>
          <w:rFonts w:ascii="Times New Roman" w:hAnsi="Times New Roman" w:cs="Times New Roman"/>
          <w:b/>
          <w:bCs/>
        </w:rPr>
        <w:t>O.B.A.</w:t>
      </w:r>
    </w:p>
    <w:p w14:paraId="2C908DBA" w14:textId="77777777" w:rsidR="00BD22A0" w:rsidRPr="00245692" w:rsidRDefault="00BD22A0" w:rsidP="00BD22A0">
      <w:pPr>
        <w:rPr>
          <w:rFonts w:ascii="Times New Roman" w:hAnsi="Times New Roman" w:cs="Times New Roman"/>
        </w:rPr>
      </w:pPr>
      <w:r w:rsidRPr="00245692">
        <w:rPr>
          <w:rFonts w:ascii="Times New Roman" w:hAnsi="Times New Roman" w:cs="Times New Roman"/>
        </w:rPr>
        <w:t xml:space="preserve">With the introduction of the </w:t>
      </w:r>
      <w:r>
        <w:rPr>
          <w:rFonts w:ascii="Times New Roman" w:hAnsi="Times New Roman" w:cs="Times New Roman"/>
        </w:rPr>
        <w:t>O</w:t>
      </w:r>
      <w:r w:rsidRPr="00245692">
        <w:rPr>
          <w:rFonts w:ascii="Times New Roman" w:hAnsi="Times New Roman" w:cs="Times New Roman"/>
        </w:rPr>
        <w:t>perational Balancing Account</w:t>
      </w:r>
      <w:r>
        <w:rPr>
          <w:rFonts w:ascii="Times New Roman" w:hAnsi="Times New Roman" w:cs="Times New Roman"/>
        </w:rPr>
        <w:t xml:space="preserve"> (OBA)</w:t>
      </w:r>
      <w:r w:rsidRPr="00245692">
        <w:rPr>
          <w:rFonts w:ascii="Times New Roman" w:hAnsi="Times New Roman" w:cs="Times New Roman"/>
        </w:rPr>
        <w:t xml:space="preserve"> and close cooperation regarding flow management, the </w:t>
      </w:r>
      <w:r>
        <w:rPr>
          <w:rFonts w:ascii="Times New Roman" w:hAnsi="Times New Roman" w:cs="Times New Roman"/>
          <w:lang w:val="en-US"/>
        </w:rPr>
        <w:t>adjacent</w:t>
      </w:r>
      <w:r w:rsidRPr="00245692">
        <w:rPr>
          <w:rFonts w:ascii="Times New Roman" w:hAnsi="Times New Roman" w:cs="Times New Roman"/>
        </w:rPr>
        <w:t xml:space="preserve"> </w:t>
      </w:r>
      <w:r>
        <w:rPr>
          <w:rFonts w:ascii="Times New Roman" w:hAnsi="Times New Roman" w:cs="Times New Roman"/>
        </w:rPr>
        <w:t>TSOs</w:t>
      </w:r>
      <w:r w:rsidRPr="00245692">
        <w:rPr>
          <w:rFonts w:ascii="Times New Roman" w:hAnsi="Times New Roman" w:cs="Times New Roman"/>
        </w:rPr>
        <w:t xml:space="preserve"> aim to </w:t>
      </w:r>
      <w:r>
        <w:rPr>
          <w:rFonts w:ascii="Times New Roman" w:hAnsi="Times New Roman" w:cs="Times New Roman"/>
        </w:rPr>
        <w:t>allocate</w:t>
      </w:r>
      <w:r w:rsidRPr="00245692">
        <w:rPr>
          <w:rFonts w:ascii="Times New Roman" w:hAnsi="Times New Roman" w:cs="Times New Roman"/>
        </w:rPr>
        <w:t xml:space="preserve"> the quantities of gas, which have been appropriately </w:t>
      </w:r>
      <w:r>
        <w:rPr>
          <w:rFonts w:ascii="Times New Roman" w:hAnsi="Times New Roman" w:cs="Times New Roman"/>
        </w:rPr>
        <w:t>nominated</w:t>
      </w:r>
      <w:r w:rsidRPr="00245692">
        <w:rPr>
          <w:rFonts w:ascii="Times New Roman" w:hAnsi="Times New Roman" w:cs="Times New Roman"/>
        </w:rPr>
        <w:t xml:space="preserve"> and confirmed, to the Network Users without interruptions and reductions.</w:t>
      </w:r>
    </w:p>
    <w:p w14:paraId="4099D437" w14:textId="77777777" w:rsidR="00BD22A0" w:rsidRPr="00245692" w:rsidRDefault="00BD22A0" w:rsidP="00BD22A0">
      <w:pPr>
        <w:rPr>
          <w:rFonts w:ascii="Times New Roman" w:hAnsi="Times New Roman" w:cs="Times New Roman"/>
        </w:rPr>
      </w:pPr>
      <w:r w:rsidRPr="00245692">
        <w:rPr>
          <w:rFonts w:ascii="Times New Roman" w:hAnsi="Times New Roman" w:cs="Times New Roman"/>
        </w:rPr>
        <w:t xml:space="preserve">Any imbalance resulting from the difference between the measured quantities for a given gas day and the quantities from the </w:t>
      </w:r>
      <w:r>
        <w:rPr>
          <w:rFonts w:ascii="Times New Roman" w:hAnsi="Times New Roman" w:cs="Times New Roman"/>
        </w:rPr>
        <w:t>matched</w:t>
      </w:r>
      <w:r w:rsidRPr="00245692">
        <w:rPr>
          <w:rFonts w:ascii="Times New Roman" w:hAnsi="Times New Roman" w:cs="Times New Roman"/>
        </w:rPr>
        <w:t xml:space="preserve"> daily delivery plan for the same gas day will result in an operational imbalance that will be charged or credited to the goods in the </w:t>
      </w:r>
      <w:r>
        <w:rPr>
          <w:rFonts w:ascii="Times New Roman" w:hAnsi="Times New Roman" w:cs="Times New Roman"/>
        </w:rPr>
        <w:t>OBA</w:t>
      </w:r>
      <w:r w:rsidRPr="00245692">
        <w:rPr>
          <w:rFonts w:ascii="Times New Roman" w:hAnsi="Times New Roman" w:cs="Times New Roman"/>
        </w:rPr>
        <w:t>, as defined by mutual</w:t>
      </w:r>
      <w:r>
        <w:rPr>
          <w:rFonts w:ascii="Times New Roman" w:hAnsi="Times New Roman" w:cs="Times New Roman"/>
        </w:rPr>
        <w:t xml:space="preserve"> Interconnection</w:t>
      </w:r>
      <w:r w:rsidRPr="00245692">
        <w:rPr>
          <w:rFonts w:ascii="Times New Roman" w:hAnsi="Times New Roman" w:cs="Times New Roman"/>
        </w:rPr>
        <w:t xml:space="preserve"> Agreement of two </w:t>
      </w:r>
      <w:r>
        <w:rPr>
          <w:rFonts w:ascii="Times New Roman" w:hAnsi="Times New Roman" w:cs="Times New Roman"/>
        </w:rPr>
        <w:t>adjacent</w:t>
      </w:r>
      <w:r w:rsidRPr="00245692">
        <w:rPr>
          <w:rFonts w:ascii="Times New Roman" w:hAnsi="Times New Roman" w:cs="Times New Roman"/>
        </w:rPr>
        <w:t xml:space="preserve"> operators.</w:t>
      </w:r>
    </w:p>
    <w:p w14:paraId="686F0BEF" w14:textId="77777777" w:rsidR="00BD22A0" w:rsidRPr="00245692" w:rsidRDefault="00BD22A0" w:rsidP="00BD22A0">
      <w:pPr>
        <w:rPr>
          <w:rFonts w:ascii="Times New Roman" w:hAnsi="Times New Roman" w:cs="Times New Roman"/>
        </w:rPr>
      </w:pPr>
      <w:r w:rsidRPr="00245692">
        <w:rPr>
          <w:rFonts w:ascii="Times New Roman" w:hAnsi="Times New Roman" w:cs="Times New Roman"/>
        </w:rPr>
        <w:t xml:space="preserve">At the beginning of the introduction of the </w:t>
      </w:r>
      <w:r>
        <w:rPr>
          <w:rFonts w:ascii="Times New Roman" w:hAnsi="Times New Roman" w:cs="Times New Roman"/>
        </w:rPr>
        <w:t>OBA</w:t>
      </w:r>
      <w:r w:rsidRPr="00245692">
        <w:rPr>
          <w:rFonts w:ascii="Times New Roman" w:hAnsi="Times New Roman" w:cs="Times New Roman"/>
        </w:rPr>
        <w:t xml:space="preserve">, the </w:t>
      </w:r>
      <w:r>
        <w:rPr>
          <w:rFonts w:ascii="Times New Roman" w:hAnsi="Times New Roman" w:cs="Times New Roman"/>
        </w:rPr>
        <w:t>TSOs</w:t>
      </w:r>
      <w:r w:rsidRPr="00245692">
        <w:rPr>
          <w:rFonts w:ascii="Times New Roman" w:hAnsi="Times New Roman" w:cs="Times New Roman"/>
        </w:rPr>
        <w:t xml:space="preserve"> are obliged to maintain the value of the cumulative imbalance registered on the operating balance that does not exceed the limit set by the </w:t>
      </w:r>
      <w:r>
        <w:rPr>
          <w:rFonts w:ascii="Times New Roman" w:hAnsi="Times New Roman" w:cs="Times New Roman"/>
        </w:rPr>
        <w:t>adjacent</w:t>
      </w:r>
      <w:r w:rsidRPr="00245692">
        <w:rPr>
          <w:rFonts w:ascii="Times New Roman" w:hAnsi="Times New Roman" w:cs="Times New Roman"/>
        </w:rPr>
        <w:t xml:space="preserve"> </w:t>
      </w:r>
      <w:r>
        <w:rPr>
          <w:rFonts w:ascii="Times New Roman" w:hAnsi="Times New Roman" w:cs="Times New Roman"/>
        </w:rPr>
        <w:t>TSOs</w:t>
      </w:r>
      <w:r w:rsidRPr="00245692">
        <w:rPr>
          <w:rFonts w:ascii="Times New Roman" w:hAnsi="Times New Roman" w:cs="Times New Roman"/>
        </w:rPr>
        <w:t>.</w:t>
      </w:r>
    </w:p>
    <w:p w14:paraId="0729B462" w14:textId="77777777" w:rsidR="00BD22A0" w:rsidRDefault="00BD22A0" w:rsidP="00BD22A0">
      <w:pPr>
        <w:rPr>
          <w:rFonts w:ascii="Times New Roman" w:hAnsi="Times New Roman" w:cs="Times New Roman"/>
        </w:rPr>
      </w:pPr>
      <w:r w:rsidRPr="00245692">
        <w:rPr>
          <w:rFonts w:ascii="Times New Roman" w:hAnsi="Times New Roman" w:cs="Times New Roman"/>
        </w:rPr>
        <w:t>At IP Kireevo / Za</w:t>
      </w:r>
      <w:r>
        <w:rPr>
          <w:rFonts w:ascii="Times New Roman" w:hAnsi="Times New Roman" w:cs="Times New Roman"/>
        </w:rPr>
        <w:t>ych</w:t>
      </w:r>
      <w:r w:rsidRPr="00245692">
        <w:rPr>
          <w:rFonts w:ascii="Times New Roman" w:hAnsi="Times New Roman" w:cs="Times New Roman"/>
        </w:rPr>
        <w:t xml:space="preserve">ar, for the period until 30.09.2021. the operators set a limit of +/- 3.8 GWh, </w:t>
      </w:r>
      <w:r w:rsidRPr="00B4697B">
        <w:rPr>
          <w:rFonts w:ascii="Times New Roman" w:hAnsi="Times New Roman" w:cs="Times New Roman"/>
        </w:rPr>
        <w:t>after which the subject limit will be expanded to +/- 15 GWh.</w:t>
      </w:r>
      <w:r>
        <w:rPr>
          <w:rFonts w:ascii="Times New Roman" w:hAnsi="Times New Roman" w:cs="Times New Roman"/>
        </w:rPr>
        <w:t xml:space="preserve"> </w:t>
      </w:r>
    </w:p>
    <w:p w14:paraId="65F9BDEF" w14:textId="77777777" w:rsidR="00BD22A0" w:rsidRPr="00245692" w:rsidRDefault="00BD22A0" w:rsidP="00BD22A0">
      <w:pPr>
        <w:rPr>
          <w:rFonts w:ascii="Times New Roman" w:hAnsi="Times New Roman" w:cs="Times New Roman"/>
        </w:rPr>
      </w:pPr>
      <w:r w:rsidRPr="00245692">
        <w:rPr>
          <w:rFonts w:ascii="Times New Roman" w:hAnsi="Times New Roman" w:cs="Times New Roman"/>
        </w:rPr>
        <w:t>At IP Serbia, the operators have set a limit of +/- 5 GWh.</w:t>
      </w:r>
    </w:p>
    <w:p w14:paraId="38F86BB7" w14:textId="77777777" w:rsidR="00BD22A0" w:rsidRPr="00245692" w:rsidRDefault="00BD22A0" w:rsidP="00BD22A0">
      <w:pPr>
        <w:rPr>
          <w:rFonts w:ascii="Times New Roman" w:hAnsi="Times New Roman" w:cs="Times New Roman"/>
        </w:rPr>
      </w:pPr>
      <w:r w:rsidRPr="00245692">
        <w:rPr>
          <w:rFonts w:ascii="Times New Roman" w:hAnsi="Times New Roman" w:cs="Times New Roman"/>
        </w:rPr>
        <w:t xml:space="preserve">In case of </w:t>
      </w:r>
      <w:r>
        <w:rPr>
          <w:rFonts w:ascii="Times New Roman" w:hAnsi="Times New Roman" w:cs="Times New Roman"/>
        </w:rPr>
        <w:t>overrun OBA limit</w:t>
      </w:r>
      <w:r w:rsidRPr="00245692">
        <w:rPr>
          <w:rFonts w:ascii="Times New Roman" w:hAnsi="Times New Roman" w:cs="Times New Roman"/>
        </w:rPr>
        <w:t xml:space="preserve">, the </w:t>
      </w:r>
      <w:r>
        <w:rPr>
          <w:rFonts w:ascii="Times New Roman" w:hAnsi="Times New Roman" w:cs="Times New Roman"/>
        </w:rPr>
        <w:t>adjacent</w:t>
      </w:r>
      <w:r w:rsidRPr="00245692">
        <w:rPr>
          <w:rFonts w:ascii="Times New Roman" w:hAnsi="Times New Roman" w:cs="Times New Roman"/>
        </w:rPr>
        <w:t xml:space="preserve"> </w:t>
      </w:r>
      <w:r>
        <w:rPr>
          <w:rFonts w:ascii="Times New Roman" w:hAnsi="Times New Roman" w:cs="Times New Roman"/>
        </w:rPr>
        <w:t>TSOs</w:t>
      </w:r>
      <w:r w:rsidRPr="00245692">
        <w:rPr>
          <w:rFonts w:ascii="Times New Roman" w:hAnsi="Times New Roman" w:cs="Times New Roman"/>
        </w:rPr>
        <w:t xml:space="preserve"> are obliged to correct it no later than 10 days after the planned </w:t>
      </w:r>
      <w:r>
        <w:rPr>
          <w:rFonts w:ascii="Times New Roman" w:hAnsi="Times New Roman" w:cs="Times New Roman"/>
        </w:rPr>
        <w:t>limit</w:t>
      </w:r>
      <w:r w:rsidRPr="00245692">
        <w:rPr>
          <w:rFonts w:ascii="Times New Roman" w:hAnsi="Times New Roman" w:cs="Times New Roman"/>
        </w:rPr>
        <w:t xml:space="preserve"> has been exceeded. The rule applies to IP Serbia and IP Kireevo / Za</w:t>
      </w:r>
      <w:r>
        <w:rPr>
          <w:rFonts w:ascii="Times New Roman" w:hAnsi="Times New Roman" w:cs="Times New Roman"/>
        </w:rPr>
        <w:t>ych</w:t>
      </w:r>
      <w:r w:rsidRPr="00245692">
        <w:rPr>
          <w:rFonts w:ascii="Times New Roman" w:hAnsi="Times New Roman" w:cs="Times New Roman"/>
        </w:rPr>
        <w:t xml:space="preserve">ar that if the </w:t>
      </w:r>
      <w:r>
        <w:rPr>
          <w:rFonts w:ascii="Times New Roman" w:hAnsi="Times New Roman" w:cs="Times New Roman"/>
        </w:rPr>
        <w:t>adjacent</w:t>
      </w:r>
      <w:r w:rsidRPr="00245692">
        <w:rPr>
          <w:rFonts w:ascii="Times New Roman" w:hAnsi="Times New Roman" w:cs="Times New Roman"/>
        </w:rPr>
        <w:t xml:space="preserve"> </w:t>
      </w:r>
      <w:r>
        <w:rPr>
          <w:rFonts w:ascii="Times New Roman" w:hAnsi="Times New Roman" w:cs="Times New Roman"/>
        </w:rPr>
        <w:t>TSOs</w:t>
      </w:r>
      <w:r w:rsidRPr="00245692">
        <w:rPr>
          <w:rFonts w:ascii="Times New Roman" w:hAnsi="Times New Roman" w:cs="Times New Roman"/>
        </w:rPr>
        <w:t xml:space="preserve"> agree operationally, one of the two activities can be applied:</w:t>
      </w:r>
    </w:p>
    <w:p w14:paraId="2D4928EB" w14:textId="77777777" w:rsidR="00BD22A0" w:rsidRPr="00245692" w:rsidRDefault="00BD22A0" w:rsidP="00BD22A0">
      <w:pPr>
        <w:rPr>
          <w:rFonts w:ascii="Times New Roman" w:hAnsi="Times New Roman" w:cs="Times New Roman"/>
        </w:rPr>
      </w:pPr>
      <w:r w:rsidRPr="00245692">
        <w:rPr>
          <w:rFonts w:ascii="Times New Roman" w:hAnsi="Times New Roman" w:cs="Times New Roman"/>
        </w:rPr>
        <w:t>1. Temporary expan</w:t>
      </w:r>
      <w:r>
        <w:rPr>
          <w:rFonts w:ascii="Times New Roman" w:hAnsi="Times New Roman" w:cs="Times New Roman"/>
        </w:rPr>
        <w:t>d</w:t>
      </w:r>
      <w:r w:rsidRPr="00245692">
        <w:rPr>
          <w:rFonts w:ascii="Times New Roman" w:hAnsi="Times New Roman" w:cs="Times New Roman"/>
        </w:rPr>
        <w:t xml:space="preserve"> of the value of the cumulative imbalance, which means defining the levels of expansion and the expected duration. The </w:t>
      </w:r>
      <w:r>
        <w:rPr>
          <w:rFonts w:ascii="Times New Roman" w:hAnsi="Times New Roman" w:cs="Times New Roman"/>
        </w:rPr>
        <w:t>adjacent</w:t>
      </w:r>
      <w:r w:rsidRPr="00245692">
        <w:rPr>
          <w:rFonts w:ascii="Times New Roman" w:hAnsi="Times New Roman" w:cs="Times New Roman"/>
        </w:rPr>
        <w:t xml:space="preserve"> </w:t>
      </w:r>
      <w:r>
        <w:rPr>
          <w:rFonts w:ascii="Times New Roman" w:hAnsi="Times New Roman" w:cs="Times New Roman"/>
        </w:rPr>
        <w:t>TSOs</w:t>
      </w:r>
      <w:r w:rsidRPr="00245692">
        <w:rPr>
          <w:rFonts w:ascii="Times New Roman" w:hAnsi="Times New Roman" w:cs="Times New Roman"/>
        </w:rPr>
        <w:t xml:space="preserve"> will return the temporarily extended value of the cumulative imbalance to the previously agreed level at the agreed time, whereby the temporary extension ceases to be valid.</w:t>
      </w:r>
    </w:p>
    <w:p w14:paraId="6AB38640" w14:textId="77777777" w:rsidR="00BD22A0" w:rsidRPr="00245692" w:rsidRDefault="00BD22A0" w:rsidP="00BD22A0">
      <w:pPr>
        <w:rPr>
          <w:rFonts w:ascii="Times New Roman" w:hAnsi="Times New Roman" w:cs="Times New Roman"/>
        </w:rPr>
      </w:pPr>
      <w:r w:rsidRPr="00245692">
        <w:rPr>
          <w:rFonts w:ascii="Times New Roman" w:hAnsi="Times New Roman" w:cs="Times New Roman"/>
        </w:rPr>
        <w:t xml:space="preserve">2. Temporary suspension of the application of the </w:t>
      </w:r>
      <w:r>
        <w:rPr>
          <w:rFonts w:ascii="Times New Roman" w:hAnsi="Times New Roman" w:cs="Times New Roman"/>
        </w:rPr>
        <w:t>OBA</w:t>
      </w:r>
      <w:r w:rsidRPr="00245692">
        <w:rPr>
          <w:rFonts w:ascii="Times New Roman" w:hAnsi="Times New Roman" w:cs="Times New Roman"/>
        </w:rPr>
        <w:t xml:space="preserve">. If the cumulative imbalance exceeds the agreed limits, either party may suspend the application of the </w:t>
      </w:r>
      <w:r>
        <w:rPr>
          <w:rFonts w:ascii="Times New Roman" w:hAnsi="Times New Roman" w:cs="Times New Roman"/>
        </w:rPr>
        <w:t>OBA</w:t>
      </w:r>
      <w:r w:rsidRPr="00245692">
        <w:rPr>
          <w:rFonts w:ascii="Times New Roman" w:hAnsi="Times New Roman" w:cs="Times New Roman"/>
        </w:rPr>
        <w:t xml:space="preserve">, whereby the allocation of user quantities would be done by the proportional method. All delivered / taken over energy would be </w:t>
      </w:r>
      <w:r>
        <w:rPr>
          <w:rFonts w:ascii="Times New Roman" w:hAnsi="Times New Roman" w:cs="Times New Roman"/>
        </w:rPr>
        <w:t>allocated</w:t>
      </w:r>
      <w:r w:rsidRPr="00245692">
        <w:rPr>
          <w:rFonts w:ascii="Times New Roman" w:hAnsi="Times New Roman" w:cs="Times New Roman"/>
        </w:rPr>
        <w:t xml:space="preserve"> to the users, in proportion to the participation of the confirmed nominations of each user in the sum of all confirmed nominations.</w:t>
      </w:r>
    </w:p>
    <w:p w14:paraId="04323F03" w14:textId="77777777" w:rsidR="00BD22A0" w:rsidRPr="00C312C2" w:rsidRDefault="00BD22A0" w:rsidP="00BD22A0">
      <w:pPr>
        <w:rPr>
          <w:rFonts w:ascii="Times New Roman" w:hAnsi="Times New Roman" w:cs="Times New Roman"/>
          <w:i/>
          <w:iCs/>
        </w:rPr>
      </w:pPr>
      <w:r w:rsidRPr="00C312C2">
        <w:rPr>
          <w:rFonts w:ascii="Times New Roman" w:hAnsi="Times New Roman" w:cs="Times New Roman"/>
          <w:i/>
          <w:iCs/>
        </w:rPr>
        <w:t xml:space="preserve">* There is currently no natural gas transportation at IP Kiskundoroszma 1200, so the rules for the realization of the </w:t>
      </w:r>
      <w:r>
        <w:rPr>
          <w:rFonts w:ascii="Times New Roman" w:hAnsi="Times New Roman" w:cs="Times New Roman"/>
          <w:i/>
          <w:iCs/>
        </w:rPr>
        <w:t>OBA</w:t>
      </w:r>
      <w:r w:rsidRPr="00C312C2">
        <w:rPr>
          <w:rFonts w:ascii="Times New Roman" w:hAnsi="Times New Roman" w:cs="Times New Roman"/>
          <w:i/>
          <w:iCs/>
        </w:rPr>
        <w:t xml:space="preserve"> have not been defined yet.</w:t>
      </w:r>
    </w:p>
    <w:p w14:paraId="16A80FF0" w14:textId="77777777" w:rsidR="00BD22A0" w:rsidRPr="005E1E23" w:rsidRDefault="00BD22A0" w:rsidP="00BD22A0">
      <w:pPr>
        <w:rPr>
          <w:rFonts w:ascii="Times New Roman" w:hAnsi="Times New Roman" w:cs="Times New Roman"/>
          <w:b/>
          <w:bCs/>
        </w:rPr>
      </w:pPr>
      <w:r w:rsidRPr="005E1E23">
        <w:rPr>
          <w:rFonts w:ascii="Times New Roman" w:hAnsi="Times New Roman" w:cs="Times New Roman"/>
          <w:b/>
          <w:bCs/>
        </w:rPr>
        <w:t>Gas quality</w:t>
      </w:r>
    </w:p>
    <w:p w14:paraId="4878265B" w14:textId="77777777" w:rsidR="00BD22A0" w:rsidRPr="005E1E23" w:rsidRDefault="00BD22A0" w:rsidP="00BD22A0">
      <w:pPr>
        <w:pStyle w:val="Default"/>
        <w:rPr>
          <w:rFonts w:ascii="Times New Roman" w:hAnsi="Times New Roman" w:cs="Times New Roman"/>
          <w:sz w:val="22"/>
          <w:szCs w:val="22"/>
        </w:rPr>
      </w:pPr>
      <w:r w:rsidRPr="005E1E23">
        <w:rPr>
          <w:rFonts w:ascii="Times New Roman" w:hAnsi="Times New Roman" w:cs="Times New Roman"/>
          <w:sz w:val="22"/>
          <w:szCs w:val="22"/>
        </w:rPr>
        <w:t xml:space="preserve">The quality requirements for gas transported by the Pipeline are determined in accordance with the </w:t>
      </w:r>
      <w:r w:rsidRPr="00D36E81">
        <w:rPr>
          <w:rFonts w:ascii="Times New Roman" w:hAnsi="Times New Roman" w:cs="Times New Roman"/>
          <w:sz w:val="22"/>
          <w:szCs w:val="22"/>
        </w:rPr>
        <w:t>official</w:t>
      </w:r>
      <w:r>
        <w:rPr>
          <w:rFonts w:ascii="Times New Roman" w:hAnsi="Times New Roman" w:cs="Times New Roman"/>
          <w:sz w:val="22"/>
          <w:szCs w:val="22"/>
        </w:rPr>
        <w:t xml:space="preserve"> </w:t>
      </w:r>
      <w:r w:rsidRPr="00D36E81">
        <w:rPr>
          <w:rFonts w:ascii="Times New Roman" w:hAnsi="Times New Roman" w:cs="Times New Roman"/>
          <w:sz w:val="22"/>
          <w:szCs w:val="22"/>
        </w:rPr>
        <w:t>regulations</w:t>
      </w:r>
      <w:r w:rsidRPr="005E1E23">
        <w:rPr>
          <w:rFonts w:ascii="Times New Roman" w:hAnsi="Times New Roman" w:cs="Times New Roman"/>
          <w:sz w:val="22"/>
          <w:szCs w:val="22"/>
        </w:rPr>
        <w:t xml:space="preserve">. The transporter takes over the natural gas made available by the user at the contracted entry point which is in accordance with the prescribed gas quality and the transporter delivers to the user at the contracted exit point gas which is in accordance with the prescribed gas quality. If the gas delivered by the user at the contracted entry point does not meet the prescribed quality requirements of natural gas, the transporter may refuse to take over gas that deviates from the prescribed quality, in whole or in part. The transporter shall endeavor to take over gas that deviates from the prescribed quality if the takeover of such gas does not endanger the safety and / or integrity </w:t>
      </w:r>
      <w:r w:rsidRPr="005E1E23">
        <w:rPr>
          <w:rFonts w:ascii="Times New Roman" w:hAnsi="Times New Roman" w:cs="Times New Roman"/>
          <w:sz w:val="22"/>
          <w:szCs w:val="22"/>
        </w:rPr>
        <w:lastRenderedPageBreak/>
        <w:t>of the transmission system. The right to compensation for damage that occurs in the case of delivery of gas that does not correspond to the prescribed quality and the manner of exercising this right is regulated in the Long-Term agreement on access to the system and transportation of natural gas and Short-Term agreement on access to the system and transportation of natural gas</w:t>
      </w:r>
      <w:r w:rsidRPr="005E1E23">
        <w:rPr>
          <w:rFonts w:ascii="Times New Roman" w:hAnsi="Times New Roman" w:cs="Times New Roman"/>
          <w:sz w:val="22"/>
          <w:szCs w:val="22"/>
          <w:lang w:val="sr-Cyrl-RS"/>
        </w:rPr>
        <w:t xml:space="preserve">. </w:t>
      </w:r>
      <w:r w:rsidRPr="005E1E23">
        <w:rPr>
          <w:rFonts w:ascii="Times New Roman" w:hAnsi="Times New Roman" w:cs="Times New Roman"/>
          <w:sz w:val="22"/>
          <w:szCs w:val="22"/>
        </w:rPr>
        <w:t>The specification of natural gas quality is given below.</w:t>
      </w:r>
    </w:p>
    <w:p w14:paraId="4464456E" w14:textId="77777777" w:rsidR="00BD22A0" w:rsidRPr="005E1E23" w:rsidRDefault="00BD22A0" w:rsidP="00BD22A0">
      <w:pPr>
        <w:pStyle w:val="Default"/>
        <w:rPr>
          <w:rFonts w:ascii="Times New Roman" w:hAnsi="Times New Roman" w:cs="Times New Roman"/>
          <w:sz w:val="22"/>
          <w:szCs w:val="22"/>
        </w:rPr>
      </w:pPr>
    </w:p>
    <w:tbl>
      <w:tblPr>
        <w:tblStyle w:val="TableGrid"/>
        <w:tblW w:w="0" w:type="auto"/>
        <w:tblInd w:w="9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3407"/>
        <w:gridCol w:w="3973"/>
      </w:tblGrid>
      <w:tr w:rsidR="00BD22A0" w:rsidRPr="005E1E23" w14:paraId="1975834B" w14:textId="77777777" w:rsidTr="0099600D">
        <w:trPr>
          <w:trHeight w:val="391"/>
        </w:trPr>
        <w:tc>
          <w:tcPr>
            <w:tcW w:w="3407" w:type="dxa"/>
            <w:shd w:val="clear" w:color="auto" w:fill="FFFFFF" w:themeFill="background1"/>
          </w:tcPr>
          <w:p w14:paraId="55C854AB" w14:textId="77777777" w:rsidR="00BD22A0" w:rsidRPr="005E1E23" w:rsidRDefault="00BD22A0" w:rsidP="0099600D">
            <w:pPr>
              <w:spacing w:line="360" w:lineRule="atLeast"/>
              <w:rPr>
                <w:b/>
                <w:sz w:val="22"/>
                <w:szCs w:val="22"/>
              </w:rPr>
            </w:pPr>
            <w:r w:rsidRPr="005E1E23">
              <w:rPr>
                <w:b/>
                <w:sz w:val="22"/>
                <w:szCs w:val="22"/>
              </w:rPr>
              <w:t xml:space="preserve">Chemical composition </w:t>
            </w:r>
          </w:p>
        </w:tc>
        <w:tc>
          <w:tcPr>
            <w:tcW w:w="3973" w:type="dxa"/>
            <w:shd w:val="clear" w:color="auto" w:fill="FFFFFF" w:themeFill="background1"/>
          </w:tcPr>
          <w:p w14:paraId="0164F772" w14:textId="77777777" w:rsidR="00BD22A0" w:rsidRPr="005E1E23" w:rsidRDefault="00BD22A0" w:rsidP="0099600D">
            <w:pPr>
              <w:spacing w:line="360" w:lineRule="atLeast"/>
              <w:jc w:val="center"/>
              <w:rPr>
                <w:b/>
                <w:sz w:val="22"/>
                <w:szCs w:val="22"/>
              </w:rPr>
            </w:pPr>
            <w:r w:rsidRPr="005E1E23">
              <w:rPr>
                <w:b/>
                <w:sz w:val="22"/>
                <w:szCs w:val="22"/>
              </w:rPr>
              <w:t>Mol percent</w:t>
            </w:r>
          </w:p>
        </w:tc>
      </w:tr>
      <w:tr w:rsidR="00BD22A0" w:rsidRPr="005E1E23" w14:paraId="70C5A99D" w14:textId="77777777" w:rsidTr="0099600D">
        <w:trPr>
          <w:trHeight w:val="391"/>
        </w:trPr>
        <w:tc>
          <w:tcPr>
            <w:tcW w:w="3407" w:type="dxa"/>
            <w:shd w:val="clear" w:color="auto" w:fill="FFFFFF" w:themeFill="background1"/>
          </w:tcPr>
          <w:p w14:paraId="4C3A9489" w14:textId="77777777" w:rsidR="00BD22A0" w:rsidRPr="005E1E23" w:rsidRDefault="00BD22A0" w:rsidP="0099600D">
            <w:pPr>
              <w:spacing w:line="360" w:lineRule="atLeast"/>
              <w:rPr>
                <w:sz w:val="22"/>
                <w:szCs w:val="22"/>
              </w:rPr>
            </w:pPr>
            <w:r w:rsidRPr="005E1E23">
              <w:rPr>
                <w:sz w:val="22"/>
                <w:szCs w:val="22"/>
              </w:rPr>
              <w:t>Methane (C1)</w:t>
            </w:r>
          </w:p>
        </w:tc>
        <w:tc>
          <w:tcPr>
            <w:tcW w:w="3973" w:type="dxa"/>
            <w:shd w:val="clear" w:color="auto" w:fill="FFFFFF" w:themeFill="background1"/>
          </w:tcPr>
          <w:p w14:paraId="7E612B43" w14:textId="77777777" w:rsidR="00BD22A0" w:rsidRPr="005E1E23" w:rsidRDefault="00BD22A0" w:rsidP="0099600D">
            <w:pPr>
              <w:spacing w:line="360" w:lineRule="atLeast"/>
              <w:jc w:val="center"/>
              <w:rPr>
                <w:sz w:val="22"/>
                <w:szCs w:val="22"/>
              </w:rPr>
            </w:pPr>
            <w:r w:rsidRPr="005E1E23">
              <w:rPr>
                <w:sz w:val="22"/>
                <w:szCs w:val="22"/>
              </w:rPr>
              <w:t>Minimum 92</w:t>
            </w:r>
          </w:p>
        </w:tc>
      </w:tr>
      <w:tr w:rsidR="00BD22A0" w:rsidRPr="005E1E23" w14:paraId="3B5E5364" w14:textId="77777777" w:rsidTr="0099600D">
        <w:trPr>
          <w:trHeight w:val="391"/>
        </w:trPr>
        <w:tc>
          <w:tcPr>
            <w:tcW w:w="3407" w:type="dxa"/>
            <w:shd w:val="clear" w:color="auto" w:fill="FFFFFF" w:themeFill="background1"/>
          </w:tcPr>
          <w:p w14:paraId="6A08EB09" w14:textId="77777777" w:rsidR="00BD22A0" w:rsidRPr="005E1E23" w:rsidRDefault="00BD22A0" w:rsidP="0099600D">
            <w:pPr>
              <w:spacing w:line="360" w:lineRule="atLeast"/>
              <w:rPr>
                <w:sz w:val="22"/>
                <w:szCs w:val="22"/>
              </w:rPr>
            </w:pPr>
            <w:r w:rsidRPr="005E1E23">
              <w:rPr>
                <w:sz w:val="22"/>
                <w:szCs w:val="22"/>
              </w:rPr>
              <w:t>Ethane (C2)</w:t>
            </w:r>
          </w:p>
        </w:tc>
        <w:tc>
          <w:tcPr>
            <w:tcW w:w="3973" w:type="dxa"/>
            <w:shd w:val="clear" w:color="auto" w:fill="FFFFFF" w:themeFill="background1"/>
          </w:tcPr>
          <w:p w14:paraId="732DB3F9" w14:textId="77777777" w:rsidR="00BD22A0" w:rsidRPr="005E1E23" w:rsidRDefault="00BD22A0" w:rsidP="0099600D">
            <w:pPr>
              <w:spacing w:line="360" w:lineRule="atLeast"/>
              <w:jc w:val="center"/>
              <w:rPr>
                <w:sz w:val="22"/>
                <w:szCs w:val="22"/>
              </w:rPr>
            </w:pPr>
            <w:r w:rsidRPr="005E1E23">
              <w:rPr>
                <w:sz w:val="22"/>
                <w:szCs w:val="22"/>
              </w:rPr>
              <w:t>Maximum 4</w:t>
            </w:r>
          </w:p>
        </w:tc>
      </w:tr>
      <w:tr w:rsidR="00BD22A0" w:rsidRPr="005E1E23" w14:paraId="005AF221" w14:textId="77777777" w:rsidTr="0099600D">
        <w:trPr>
          <w:trHeight w:val="391"/>
        </w:trPr>
        <w:tc>
          <w:tcPr>
            <w:tcW w:w="3407" w:type="dxa"/>
            <w:shd w:val="clear" w:color="auto" w:fill="FFFFFF" w:themeFill="background1"/>
          </w:tcPr>
          <w:p w14:paraId="2CB1E797" w14:textId="77777777" w:rsidR="00BD22A0" w:rsidRPr="005E1E23" w:rsidRDefault="00BD22A0" w:rsidP="0099600D">
            <w:pPr>
              <w:spacing w:line="360" w:lineRule="atLeast"/>
              <w:rPr>
                <w:sz w:val="22"/>
                <w:szCs w:val="22"/>
              </w:rPr>
            </w:pPr>
            <w:r w:rsidRPr="005E1E23">
              <w:rPr>
                <w:sz w:val="22"/>
                <w:szCs w:val="22"/>
              </w:rPr>
              <w:t>Propane (C3)</w:t>
            </w:r>
          </w:p>
        </w:tc>
        <w:tc>
          <w:tcPr>
            <w:tcW w:w="3973" w:type="dxa"/>
            <w:shd w:val="clear" w:color="auto" w:fill="FFFFFF" w:themeFill="background1"/>
          </w:tcPr>
          <w:p w14:paraId="400E518A" w14:textId="77777777" w:rsidR="00BD22A0" w:rsidRPr="005E1E23" w:rsidRDefault="00BD22A0" w:rsidP="0099600D">
            <w:pPr>
              <w:spacing w:line="360" w:lineRule="atLeast"/>
              <w:jc w:val="center"/>
              <w:rPr>
                <w:sz w:val="22"/>
                <w:szCs w:val="22"/>
              </w:rPr>
            </w:pPr>
            <w:r w:rsidRPr="005E1E23">
              <w:rPr>
                <w:sz w:val="22"/>
                <w:szCs w:val="22"/>
              </w:rPr>
              <w:t>Maximum 2</w:t>
            </w:r>
          </w:p>
        </w:tc>
      </w:tr>
      <w:tr w:rsidR="00BD22A0" w:rsidRPr="005E1E23" w14:paraId="7F3DB324" w14:textId="77777777" w:rsidTr="0099600D">
        <w:trPr>
          <w:trHeight w:val="391"/>
        </w:trPr>
        <w:tc>
          <w:tcPr>
            <w:tcW w:w="3407" w:type="dxa"/>
            <w:shd w:val="clear" w:color="auto" w:fill="FFFFFF" w:themeFill="background1"/>
          </w:tcPr>
          <w:p w14:paraId="3C078B0B" w14:textId="77777777" w:rsidR="00BD22A0" w:rsidRPr="005E1E23" w:rsidRDefault="00BD22A0" w:rsidP="0099600D">
            <w:pPr>
              <w:spacing w:line="360" w:lineRule="atLeast"/>
              <w:rPr>
                <w:sz w:val="22"/>
                <w:szCs w:val="22"/>
              </w:rPr>
            </w:pPr>
            <w:r w:rsidRPr="005E1E23">
              <w:rPr>
                <w:sz w:val="22"/>
                <w:szCs w:val="22"/>
              </w:rPr>
              <w:t>Butane (C4)</w:t>
            </w:r>
          </w:p>
        </w:tc>
        <w:tc>
          <w:tcPr>
            <w:tcW w:w="3973" w:type="dxa"/>
            <w:shd w:val="clear" w:color="auto" w:fill="FFFFFF" w:themeFill="background1"/>
          </w:tcPr>
          <w:p w14:paraId="086E018A" w14:textId="77777777" w:rsidR="00BD22A0" w:rsidRPr="005E1E23" w:rsidRDefault="00BD22A0" w:rsidP="0099600D">
            <w:pPr>
              <w:spacing w:line="360" w:lineRule="atLeast"/>
              <w:jc w:val="center"/>
              <w:rPr>
                <w:sz w:val="22"/>
                <w:szCs w:val="22"/>
              </w:rPr>
            </w:pPr>
            <w:r w:rsidRPr="005E1E23">
              <w:rPr>
                <w:sz w:val="22"/>
                <w:szCs w:val="22"/>
              </w:rPr>
              <w:t>Maximum 1,5</w:t>
            </w:r>
          </w:p>
        </w:tc>
      </w:tr>
      <w:tr w:rsidR="00BD22A0" w:rsidRPr="005E1E23" w14:paraId="0146C593" w14:textId="77777777" w:rsidTr="0099600D">
        <w:trPr>
          <w:trHeight w:val="391"/>
        </w:trPr>
        <w:tc>
          <w:tcPr>
            <w:tcW w:w="3407" w:type="dxa"/>
            <w:shd w:val="clear" w:color="auto" w:fill="FFFFFF" w:themeFill="background1"/>
          </w:tcPr>
          <w:p w14:paraId="7D0E6C21" w14:textId="77777777" w:rsidR="00BD22A0" w:rsidRPr="005E1E23" w:rsidRDefault="00BD22A0" w:rsidP="0099600D">
            <w:pPr>
              <w:spacing w:line="360" w:lineRule="atLeast"/>
              <w:rPr>
                <w:sz w:val="22"/>
                <w:szCs w:val="22"/>
              </w:rPr>
            </w:pPr>
            <w:r w:rsidRPr="005E1E23">
              <w:rPr>
                <w:sz w:val="22"/>
                <w:szCs w:val="22"/>
              </w:rPr>
              <w:t>Pentane (C5+)</w:t>
            </w:r>
          </w:p>
        </w:tc>
        <w:tc>
          <w:tcPr>
            <w:tcW w:w="3973" w:type="dxa"/>
            <w:shd w:val="clear" w:color="auto" w:fill="FFFFFF" w:themeFill="background1"/>
          </w:tcPr>
          <w:p w14:paraId="2D57182A" w14:textId="77777777" w:rsidR="00BD22A0" w:rsidRPr="005E1E23" w:rsidRDefault="00BD22A0" w:rsidP="0099600D">
            <w:pPr>
              <w:spacing w:line="360" w:lineRule="atLeast"/>
              <w:jc w:val="center"/>
              <w:rPr>
                <w:sz w:val="22"/>
                <w:szCs w:val="22"/>
              </w:rPr>
            </w:pPr>
            <w:r w:rsidRPr="005E1E23">
              <w:rPr>
                <w:sz w:val="22"/>
                <w:szCs w:val="22"/>
              </w:rPr>
              <w:t>Maximum 0,5</w:t>
            </w:r>
          </w:p>
        </w:tc>
      </w:tr>
      <w:tr w:rsidR="00BD22A0" w:rsidRPr="005E1E23" w14:paraId="154BC0ED" w14:textId="77777777" w:rsidTr="0099600D">
        <w:trPr>
          <w:trHeight w:val="391"/>
        </w:trPr>
        <w:tc>
          <w:tcPr>
            <w:tcW w:w="3407" w:type="dxa"/>
            <w:shd w:val="clear" w:color="auto" w:fill="FFFFFF" w:themeFill="background1"/>
          </w:tcPr>
          <w:p w14:paraId="1316425E" w14:textId="77777777" w:rsidR="00BD22A0" w:rsidRPr="005E1E23" w:rsidRDefault="00BD22A0" w:rsidP="0099600D">
            <w:pPr>
              <w:spacing w:line="360" w:lineRule="atLeast"/>
              <w:rPr>
                <w:sz w:val="22"/>
                <w:szCs w:val="22"/>
              </w:rPr>
            </w:pPr>
            <w:r w:rsidRPr="005E1E23">
              <w:rPr>
                <w:sz w:val="22"/>
                <w:szCs w:val="22"/>
              </w:rPr>
              <w:t>Hexane</w:t>
            </w:r>
          </w:p>
        </w:tc>
        <w:tc>
          <w:tcPr>
            <w:tcW w:w="3973" w:type="dxa"/>
            <w:shd w:val="clear" w:color="auto" w:fill="FFFFFF" w:themeFill="background1"/>
          </w:tcPr>
          <w:p w14:paraId="57FCB8D6" w14:textId="77777777" w:rsidR="00BD22A0" w:rsidRPr="005E1E23" w:rsidRDefault="00BD22A0" w:rsidP="0099600D">
            <w:pPr>
              <w:spacing w:line="360" w:lineRule="atLeast"/>
              <w:jc w:val="center"/>
              <w:rPr>
                <w:sz w:val="22"/>
                <w:szCs w:val="22"/>
              </w:rPr>
            </w:pPr>
            <w:r w:rsidRPr="005E1E23">
              <w:rPr>
                <w:sz w:val="22"/>
                <w:szCs w:val="22"/>
              </w:rPr>
              <w:t>Maximum 0,2</w:t>
            </w:r>
          </w:p>
        </w:tc>
      </w:tr>
      <w:tr w:rsidR="00BD22A0" w:rsidRPr="005E1E23" w14:paraId="350B215E" w14:textId="77777777" w:rsidTr="0099600D">
        <w:trPr>
          <w:trHeight w:val="391"/>
        </w:trPr>
        <w:tc>
          <w:tcPr>
            <w:tcW w:w="3407" w:type="dxa"/>
            <w:shd w:val="clear" w:color="auto" w:fill="FFFFFF" w:themeFill="background1"/>
          </w:tcPr>
          <w:p w14:paraId="1634F15B" w14:textId="77777777" w:rsidR="00BD22A0" w:rsidRPr="005E1E23" w:rsidRDefault="00BD22A0" w:rsidP="0099600D">
            <w:pPr>
              <w:spacing w:line="360" w:lineRule="atLeast"/>
              <w:rPr>
                <w:sz w:val="22"/>
                <w:szCs w:val="22"/>
              </w:rPr>
            </w:pPr>
            <w:r w:rsidRPr="005E1E23">
              <w:rPr>
                <w:sz w:val="22"/>
                <w:szCs w:val="22"/>
              </w:rPr>
              <w:t>Nitrogen (N2)</w:t>
            </w:r>
          </w:p>
        </w:tc>
        <w:tc>
          <w:tcPr>
            <w:tcW w:w="3973" w:type="dxa"/>
            <w:shd w:val="clear" w:color="auto" w:fill="FFFFFF" w:themeFill="background1"/>
          </w:tcPr>
          <w:p w14:paraId="081BFED0" w14:textId="77777777" w:rsidR="00BD22A0" w:rsidRPr="005E1E23" w:rsidRDefault="00BD22A0" w:rsidP="0099600D">
            <w:pPr>
              <w:spacing w:line="360" w:lineRule="atLeast"/>
              <w:jc w:val="center"/>
              <w:rPr>
                <w:sz w:val="22"/>
                <w:szCs w:val="22"/>
              </w:rPr>
            </w:pPr>
            <w:r w:rsidRPr="005E1E23">
              <w:rPr>
                <w:sz w:val="22"/>
                <w:szCs w:val="22"/>
              </w:rPr>
              <w:t>Maximum 2</w:t>
            </w:r>
          </w:p>
        </w:tc>
      </w:tr>
      <w:tr w:rsidR="00BD22A0" w:rsidRPr="005E1E23" w14:paraId="71F76ADB" w14:textId="77777777" w:rsidTr="0099600D">
        <w:trPr>
          <w:trHeight w:val="391"/>
        </w:trPr>
        <w:tc>
          <w:tcPr>
            <w:tcW w:w="3407" w:type="dxa"/>
            <w:shd w:val="clear" w:color="auto" w:fill="FFFFFF" w:themeFill="background1"/>
          </w:tcPr>
          <w:p w14:paraId="070BE8A5" w14:textId="77777777" w:rsidR="00BD22A0" w:rsidRPr="005E1E23" w:rsidRDefault="00BD22A0" w:rsidP="0099600D">
            <w:pPr>
              <w:spacing w:line="360" w:lineRule="atLeast"/>
              <w:rPr>
                <w:sz w:val="22"/>
                <w:szCs w:val="22"/>
              </w:rPr>
            </w:pPr>
            <w:r w:rsidRPr="005E1E23">
              <w:rPr>
                <w:sz w:val="22"/>
                <w:szCs w:val="22"/>
              </w:rPr>
              <w:t>Carbon dioxide (CO2)</w:t>
            </w:r>
          </w:p>
        </w:tc>
        <w:tc>
          <w:tcPr>
            <w:tcW w:w="3973" w:type="dxa"/>
            <w:shd w:val="clear" w:color="auto" w:fill="FFFFFF" w:themeFill="background1"/>
          </w:tcPr>
          <w:p w14:paraId="6EE8BF15" w14:textId="77777777" w:rsidR="00BD22A0" w:rsidRPr="005E1E23" w:rsidRDefault="00BD22A0" w:rsidP="0099600D">
            <w:pPr>
              <w:spacing w:line="360" w:lineRule="atLeast"/>
              <w:jc w:val="center"/>
              <w:rPr>
                <w:sz w:val="22"/>
                <w:szCs w:val="22"/>
              </w:rPr>
            </w:pPr>
            <w:r w:rsidRPr="005E1E23">
              <w:rPr>
                <w:sz w:val="22"/>
                <w:szCs w:val="22"/>
              </w:rPr>
              <w:t>Maximum 1</w:t>
            </w:r>
          </w:p>
        </w:tc>
      </w:tr>
      <w:tr w:rsidR="00BD22A0" w:rsidRPr="005E1E23" w14:paraId="7D844869" w14:textId="77777777" w:rsidTr="0099600D">
        <w:trPr>
          <w:trHeight w:val="391"/>
        </w:trPr>
        <w:tc>
          <w:tcPr>
            <w:tcW w:w="3407" w:type="dxa"/>
            <w:shd w:val="clear" w:color="auto" w:fill="FFFFFF" w:themeFill="background1"/>
          </w:tcPr>
          <w:p w14:paraId="3BCB58DB" w14:textId="77777777" w:rsidR="00BD22A0" w:rsidRPr="005E1E23" w:rsidRDefault="00BD22A0" w:rsidP="0099600D">
            <w:pPr>
              <w:spacing w:line="360" w:lineRule="atLeast"/>
              <w:rPr>
                <w:sz w:val="22"/>
                <w:szCs w:val="22"/>
              </w:rPr>
            </w:pPr>
            <w:r w:rsidRPr="005E1E23">
              <w:rPr>
                <w:sz w:val="22"/>
                <w:szCs w:val="22"/>
              </w:rPr>
              <w:t>Oxigen (O2)</w:t>
            </w:r>
          </w:p>
        </w:tc>
        <w:tc>
          <w:tcPr>
            <w:tcW w:w="3973" w:type="dxa"/>
            <w:shd w:val="clear" w:color="auto" w:fill="FFFFFF" w:themeFill="background1"/>
          </w:tcPr>
          <w:p w14:paraId="031CA8CC" w14:textId="77777777" w:rsidR="00BD22A0" w:rsidRPr="005E1E23" w:rsidRDefault="00BD22A0" w:rsidP="0099600D">
            <w:pPr>
              <w:spacing w:line="360" w:lineRule="atLeast"/>
              <w:jc w:val="center"/>
              <w:rPr>
                <w:sz w:val="22"/>
                <w:szCs w:val="22"/>
              </w:rPr>
            </w:pPr>
            <w:r w:rsidRPr="005E1E23">
              <w:rPr>
                <w:sz w:val="22"/>
                <w:szCs w:val="22"/>
              </w:rPr>
              <w:t>Maximum 0,02</w:t>
            </w:r>
          </w:p>
        </w:tc>
      </w:tr>
      <w:tr w:rsidR="00BD22A0" w:rsidRPr="005E1E23" w14:paraId="40E2C9D6" w14:textId="77777777" w:rsidTr="0099600D">
        <w:trPr>
          <w:trHeight w:val="391"/>
        </w:trPr>
        <w:tc>
          <w:tcPr>
            <w:tcW w:w="3407" w:type="dxa"/>
            <w:shd w:val="clear" w:color="auto" w:fill="FFFFFF" w:themeFill="background1"/>
          </w:tcPr>
          <w:p w14:paraId="56DAEE17" w14:textId="77777777" w:rsidR="00BD22A0" w:rsidRPr="005E1E23" w:rsidRDefault="00BD22A0" w:rsidP="0099600D">
            <w:pPr>
              <w:spacing w:line="360" w:lineRule="atLeast"/>
              <w:rPr>
                <w:sz w:val="22"/>
                <w:szCs w:val="22"/>
              </w:rPr>
            </w:pPr>
            <w:r w:rsidRPr="005E1E23">
              <w:rPr>
                <w:sz w:val="22"/>
                <w:szCs w:val="22"/>
              </w:rPr>
              <w:t>Gross calorific value (kWh/m3)</w:t>
            </w:r>
          </w:p>
        </w:tc>
        <w:tc>
          <w:tcPr>
            <w:tcW w:w="3973" w:type="dxa"/>
            <w:shd w:val="clear" w:color="auto" w:fill="FFFFFF" w:themeFill="background1"/>
          </w:tcPr>
          <w:p w14:paraId="27ECC232" w14:textId="77777777" w:rsidR="00BD22A0" w:rsidRPr="005E1E23" w:rsidRDefault="00BD22A0" w:rsidP="0099600D">
            <w:pPr>
              <w:spacing w:line="360" w:lineRule="atLeast"/>
              <w:jc w:val="center"/>
              <w:rPr>
                <w:sz w:val="22"/>
                <w:szCs w:val="22"/>
              </w:rPr>
            </w:pPr>
            <w:r w:rsidRPr="005E1E23">
              <w:rPr>
                <w:sz w:val="22"/>
                <w:szCs w:val="22"/>
              </w:rPr>
              <w:t>10.80 – 12.20</w:t>
            </w:r>
          </w:p>
        </w:tc>
      </w:tr>
      <w:tr w:rsidR="00BD22A0" w:rsidRPr="005E1E23" w14:paraId="0A00F786" w14:textId="77777777" w:rsidTr="0099600D">
        <w:trPr>
          <w:trHeight w:val="391"/>
        </w:trPr>
        <w:tc>
          <w:tcPr>
            <w:tcW w:w="3407" w:type="dxa"/>
            <w:shd w:val="clear" w:color="auto" w:fill="FFFFFF" w:themeFill="background1"/>
          </w:tcPr>
          <w:p w14:paraId="5765F021" w14:textId="77777777" w:rsidR="00BD22A0" w:rsidRPr="005E1E23" w:rsidRDefault="00BD22A0" w:rsidP="0099600D">
            <w:pPr>
              <w:spacing w:line="360" w:lineRule="atLeast"/>
              <w:rPr>
                <w:sz w:val="22"/>
                <w:szCs w:val="22"/>
              </w:rPr>
            </w:pPr>
            <w:r w:rsidRPr="005E1E23">
              <w:rPr>
                <w:sz w:val="22"/>
                <w:szCs w:val="22"/>
              </w:rPr>
              <w:t>Wobbe indeks (kWh/m3)</w:t>
            </w:r>
          </w:p>
        </w:tc>
        <w:tc>
          <w:tcPr>
            <w:tcW w:w="3973" w:type="dxa"/>
            <w:shd w:val="clear" w:color="auto" w:fill="FFFFFF" w:themeFill="background1"/>
          </w:tcPr>
          <w:p w14:paraId="7CBA1693" w14:textId="77777777" w:rsidR="00BD22A0" w:rsidRPr="005E1E23" w:rsidRDefault="00BD22A0" w:rsidP="0099600D">
            <w:pPr>
              <w:spacing w:line="360" w:lineRule="atLeast"/>
              <w:jc w:val="center"/>
              <w:rPr>
                <w:sz w:val="22"/>
                <w:szCs w:val="22"/>
              </w:rPr>
            </w:pPr>
            <w:r w:rsidRPr="005E1E23">
              <w:rPr>
                <w:sz w:val="22"/>
                <w:szCs w:val="22"/>
              </w:rPr>
              <w:t xml:space="preserve">13.59 - 15.37 </w:t>
            </w:r>
          </w:p>
        </w:tc>
      </w:tr>
    </w:tbl>
    <w:p w14:paraId="0AF490F7" w14:textId="77777777" w:rsidR="008373CA" w:rsidRDefault="008373CA"/>
    <w:sectPr w:rsidR="00837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A0"/>
    <w:rsid w:val="00411E6A"/>
    <w:rsid w:val="008373CA"/>
    <w:rsid w:val="00AF29B8"/>
    <w:rsid w:val="00BD2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BDE3"/>
  <w15:chartTrackingRefBased/>
  <w15:docId w15:val="{1A1F66BB-B797-455F-8D46-D3F70959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2A0"/>
    <w:rPr>
      <w:lang w:val="sr-Latn-RS"/>
    </w:rPr>
  </w:style>
  <w:style w:type="paragraph" w:styleId="Heading1">
    <w:name w:val="heading 1"/>
    <w:basedOn w:val="Normal"/>
    <w:next w:val="Normal"/>
    <w:link w:val="Heading1Char"/>
    <w:uiPriority w:val="9"/>
    <w:qFormat/>
    <w:rsid w:val="00411E6A"/>
    <w:pPr>
      <w:keepNext/>
      <w:keepLines/>
      <w:spacing w:before="240" w:after="0"/>
      <w:outlineLvl w:val="0"/>
    </w:pPr>
    <w:rPr>
      <w:rFonts w:asciiTheme="majorHAnsi" w:eastAsiaTheme="majorEastAsia" w:hAnsiTheme="majorHAnsi" w:cstheme="majorBidi"/>
      <w:sz w:val="32"/>
      <w:szCs w:val="3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6A"/>
    <w:rPr>
      <w:rFonts w:asciiTheme="majorHAnsi" w:eastAsiaTheme="majorEastAsia" w:hAnsiTheme="majorHAnsi" w:cstheme="majorBidi"/>
      <w:sz w:val="32"/>
      <w:szCs w:val="32"/>
    </w:rPr>
  </w:style>
  <w:style w:type="table" w:styleId="TableGrid">
    <w:name w:val="Table Grid"/>
    <w:basedOn w:val="TableNormal"/>
    <w:rsid w:val="00BD22A0"/>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2A0"/>
    <w:pPr>
      <w:autoSpaceDE w:val="0"/>
      <w:autoSpaceDN w:val="0"/>
      <w:adjustRightInd w:val="0"/>
      <w:spacing w:after="0" w:line="240" w:lineRule="auto"/>
    </w:pPr>
    <w:rPr>
      <w:rFonts w:ascii="Calibri" w:hAnsi="Calibri" w:cs="Calibri"/>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Kapusta</dc:creator>
  <cp:keywords/>
  <dc:description/>
  <cp:lastModifiedBy>Andrej Kapusta</cp:lastModifiedBy>
  <cp:revision>1</cp:revision>
  <dcterms:created xsi:type="dcterms:W3CDTF">2021-02-24T12:23:00Z</dcterms:created>
  <dcterms:modified xsi:type="dcterms:W3CDTF">2021-02-24T12:25:00Z</dcterms:modified>
</cp:coreProperties>
</file>