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1A082" w14:textId="50A991FD" w:rsidR="006715E1" w:rsidRPr="006715E1" w:rsidRDefault="006715E1" w:rsidP="006715E1">
      <w:pPr>
        <w:rPr>
          <w:rFonts w:ascii="Times New Roman" w:hAnsi="Times New Roman" w:cs="Times New Roman"/>
          <w:b/>
          <w:bCs/>
        </w:rPr>
      </w:pPr>
      <w:r w:rsidRPr="00914C87">
        <w:rPr>
          <w:rFonts w:ascii="Times New Roman" w:eastAsia="Times New Roman" w:hAnsi="Times New Roman" w:cs="Times New Roman"/>
          <w:b/>
          <w:bCs/>
          <w:color w:val="201F1E"/>
          <w:lang w:eastAsia="sr-Latn-RS"/>
        </w:rPr>
        <w:t>Short summary of harmonised procedure applicable for use of</w:t>
      </w:r>
      <w:r w:rsidRPr="00A51361">
        <w:rPr>
          <w:rFonts w:ascii="Times New Roman" w:eastAsia="Times New Roman" w:hAnsi="Times New Roman" w:cs="Times New Roman"/>
          <w:b/>
          <w:bCs/>
          <w:color w:val="201F1E"/>
          <w:lang w:eastAsia="sr-Latn-RS"/>
        </w:rPr>
        <w:t xml:space="preserve"> </w:t>
      </w:r>
      <w:r w:rsidRPr="00914C87">
        <w:rPr>
          <w:rFonts w:ascii="Times New Roman" w:eastAsia="Times New Roman" w:hAnsi="Times New Roman" w:cs="Times New Roman"/>
          <w:b/>
          <w:bCs/>
          <w:color w:val="201F1E"/>
          <w:lang w:eastAsia="sr-Latn-RS"/>
        </w:rPr>
        <w:t>transmission system and definition of key terms</w:t>
      </w:r>
      <w:r w:rsidRPr="00A51361">
        <w:rPr>
          <w:rFonts w:ascii="Times New Roman" w:eastAsia="Times New Roman" w:hAnsi="Times New Roman" w:cs="Times New Roman"/>
          <w:b/>
          <w:bCs/>
          <w:color w:val="201F1E"/>
          <w:lang w:eastAsia="sr-Latn-RS"/>
        </w:rPr>
        <w:t xml:space="preserve">  </w:t>
      </w:r>
    </w:p>
    <w:p w14:paraId="00678A20" w14:textId="77777777" w:rsidR="006715E1" w:rsidRPr="00A51361" w:rsidRDefault="006715E1" w:rsidP="006715E1">
      <w:pPr>
        <w:pStyle w:val="Default"/>
        <w:rPr>
          <w:sz w:val="22"/>
          <w:szCs w:val="22"/>
        </w:rPr>
      </w:pPr>
      <w:r w:rsidRPr="00A51361">
        <w:rPr>
          <w:sz w:val="22"/>
          <w:szCs w:val="22"/>
        </w:rPr>
        <w:t xml:space="preserve">An Entity that intends to use Gas Transmission Services, shall submit a Request for Access to the System to the Transporter in line with the Article 3.3 of the Network Code. </w:t>
      </w:r>
    </w:p>
    <w:p w14:paraId="1F2A9A82" w14:textId="77777777" w:rsidR="006715E1" w:rsidRPr="00A51361" w:rsidRDefault="006715E1" w:rsidP="006715E1">
      <w:pPr>
        <w:pStyle w:val="Default"/>
        <w:rPr>
          <w:sz w:val="22"/>
          <w:szCs w:val="22"/>
        </w:rPr>
      </w:pPr>
      <w:r w:rsidRPr="00A51361">
        <w:rPr>
          <w:sz w:val="22"/>
          <w:szCs w:val="22"/>
        </w:rPr>
        <w:t xml:space="preserve">Upon determining that conditions for the granting access to the system, as set out in the Energy Law and Network Code, are met, the Transporter executes a Short-Term GTA with the Applicant who accepts to register with the Capacity Booking Platform in line with the rules of Capacity Booking Platform and execute GEDP User Agreement with the Transporter. </w:t>
      </w:r>
    </w:p>
    <w:p w14:paraId="40763F80" w14:textId="77777777" w:rsidR="006715E1" w:rsidRDefault="006715E1" w:rsidP="006715E1">
      <w:pPr>
        <w:pStyle w:val="Default"/>
        <w:rPr>
          <w:sz w:val="22"/>
          <w:szCs w:val="22"/>
        </w:rPr>
      </w:pPr>
      <w:r w:rsidRPr="00A51361">
        <w:rPr>
          <w:sz w:val="22"/>
          <w:szCs w:val="22"/>
        </w:rPr>
        <w:t>If the Entity is already registered with the Capacity Booking Platform, it is sufficient to submit a Request for Access to the System and execute a GEDP User Agreement with the Transporter.</w:t>
      </w:r>
    </w:p>
    <w:p w14:paraId="136EE44C" w14:textId="77777777" w:rsidR="006715E1" w:rsidRDefault="006715E1" w:rsidP="006715E1">
      <w:pPr>
        <w:pStyle w:val="Default"/>
        <w:rPr>
          <w:sz w:val="22"/>
          <w:szCs w:val="22"/>
        </w:rPr>
      </w:pPr>
    </w:p>
    <w:p w14:paraId="20390670" w14:textId="77777777" w:rsidR="006715E1" w:rsidRPr="00430331" w:rsidRDefault="006715E1" w:rsidP="006715E1">
      <w:pPr>
        <w:pStyle w:val="Default"/>
        <w:rPr>
          <w:sz w:val="22"/>
          <w:szCs w:val="22"/>
          <w:lang w:val="sr-Cyrl-RS"/>
        </w:rPr>
      </w:pPr>
      <w:r>
        <w:rPr>
          <w:sz w:val="22"/>
          <w:szCs w:val="22"/>
        </w:rPr>
        <w:t>Each User, save for the User meeting the Rating Exemption criteria, is obliged to provide to the Transporter one or more adequate Credit Support</w:t>
      </w:r>
      <w:r>
        <w:rPr>
          <w:sz w:val="22"/>
          <w:szCs w:val="22"/>
          <w:lang w:val="sr-Cyrl-RS"/>
        </w:rPr>
        <w:t>.</w:t>
      </w:r>
    </w:p>
    <w:p w14:paraId="46B8AD76" w14:textId="77777777" w:rsidR="006715E1" w:rsidRDefault="006715E1" w:rsidP="006715E1">
      <w:pPr>
        <w:pStyle w:val="Default"/>
        <w:rPr>
          <w:sz w:val="22"/>
          <w:szCs w:val="22"/>
        </w:rPr>
      </w:pPr>
    </w:p>
    <w:p w14:paraId="35E3593E" w14:textId="77777777" w:rsidR="006715E1" w:rsidRDefault="006715E1" w:rsidP="006715E1">
      <w:pPr>
        <w:pStyle w:val="Default"/>
        <w:rPr>
          <w:sz w:val="22"/>
          <w:szCs w:val="22"/>
          <w:lang w:bidi="en-GB"/>
        </w:rPr>
      </w:pPr>
      <w:r>
        <w:rPr>
          <w:sz w:val="22"/>
          <w:szCs w:val="22"/>
        </w:rPr>
        <w:t>User has no obligation to deliver Credit Support to the Transporter if it meets either of following criteria ("</w:t>
      </w:r>
      <w:r>
        <w:rPr>
          <w:b/>
          <w:bCs/>
          <w:sz w:val="22"/>
          <w:szCs w:val="22"/>
        </w:rPr>
        <w:t>Rating Exemption</w:t>
      </w:r>
      <w:r>
        <w:rPr>
          <w:sz w:val="22"/>
          <w:szCs w:val="22"/>
        </w:rPr>
        <w:t>"):</w:t>
      </w:r>
    </w:p>
    <w:p w14:paraId="6DE35D09" w14:textId="77777777" w:rsidR="006715E1" w:rsidRPr="00B1278B" w:rsidRDefault="006715E1" w:rsidP="006715E1">
      <w:pPr>
        <w:pStyle w:val="Default"/>
        <w:numPr>
          <w:ilvl w:val="0"/>
          <w:numId w:val="1"/>
        </w:numPr>
        <w:rPr>
          <w:sz w:val="22"/>
          <w:szCs w:val="22"/>
          <w:lang w:val="sr-Cyrl-RS"/>
        </w:rPr>
      </w:pPr>
      <w:r w:rsidRPr="00B1278B">
        <w:rPr>
          <w:sz w:val="22"/>
          <w:szCs w:val="22"/>
          <w:lang w:bidi="en-GB"/>
        </w:rPr>
        <w:t>Credit Rating</w:t>
      </w:r>
    </w:p>
    <w:p w14:paraId="46752758" w14:textId="77777777" w:rsidR="006715E1" w:rsidRPr="00B1278B" w:rsidRDefault="006715E1" w:rsidP="006715E1">
      <w:pPr>
        <w:pStyle w:val="Default"/>
        <w:numPr>
          <w:ilvl w:val="1"/>
          <w:numId w:val="1"/>
        </w:numPr>
        <w:rPr>
          <w:sz w:val="22"/>
          <w:szCs w:val="22"/>
          <w:lang w:val="sr-Cyrl-RS"/>
        </w:rPr>
      </w:pPr>
      <w:r w:rsidRPr="00B1278B">
        <w:rPr>
          <w:sz w:val="22"/>
          <w:szCs w:val="22"/>
          <w:lang w:bidi="en-GB"/>
        </w:rPr>
        <w:t>the long-term rating of BBB- on the Standard &amp; Poor's scale- or higher;</w:t>
      </w:r>
    </w:p>
    <w:p w14:paraId="1773253A" w14:textId="77777777" w:rsidR="006715E1" w:rsidRPr="00B1278B" w:rsidRDefault="006715E1" w:rsidP="006715E1">
      <w:pPr>
        <w:pStyle w:val="Default"/>
        <w:numPr>
          <w:ilvl w:val="1"/>
          <w:numId w:val="1"/>
        </w:numPr>
        <w:rPr>
          <w:sz w:val="22"/>
          <w:szCs w:val="22"/>
          <w:lang w:val="sr-Cyrl-RS"/>
        </w:rPr>
      </w:pPr>
      <w:r w:rsidRPr="00B1278B">
        <w:rPr>
          <w:sz w:val="22"/>
          <w:szCs w:val="22"/>
          <w:lang w:bidi="en-GB"/>
        </w:rPr>
        <w:t>the rating of BBB on the Fitch scale or higher;</w:t>
      </w:r>
    </w:p>
    <w:p w14:paraId="3767D5C6" w14:textId="77777777" w:rsidR="006715E1" w:rsidRPr="00B1278B" w:rsidRDefault="006715E1" w:rsidP="006715E1">
      <w:pPr>
        <w:pStyle w:val="Default"/>
        <w:numPr>
          <w:ilvl w:val="1"/>
          <w:numId w:val="1"/>
        </w:numPr>
        <w:rPr>
          <w:sz w:val="22"/>
          <w:szCs w:val="22"/>
          <w:lang w:val="sr-Cyrl-RS"/>
        </w:rPr>
      </w:pPr>
      <w:r w:rsidRPr="00B1278B">
        <w:rPr>
          <w:sz w:val="22"/>
          <w:szCs w:val="22"/>
          <w:lang w:bidi="en-GB"/>
        </w:rPr>
        <w:t>the long-term rating of Baa3 or higher; or</w:t>
      </w:r>
    </w:p>
    <w:p w14:paraId="2580CD25" w14:textId="77777777" w:rsidR="006715E1" w:rsidRPr="00B1278B" w:rsidRDefault="006715E1" w:rsidP="006715E1">
      <w:pPr>
        <w:pStyle w:val="Default"/>
        <w:numPr>
          <w:ilvl w:val="1"/>
          <w:numId w:val="1"/>
        </w:numPr>
        <w:rPr>
          <w:sz w:val="22"/>
          <w:szCs w:val="22"/>
          <w:lang w:val="sr-Cyrl-RS"/>
        </w:rPr>
      </w:pPr>
      <w:r w:rsidRPr="00B1278B">
        <w:rPr>
          <w:sz w:val="22"/>
          <w:szCs w:val="22"/>
          <w:lang w:bidi="en-GB"/>
        </w:rPr>
        <w:t>235 points or less according to Creditreform (credit index score 2.0),</w:t>
      </w:r>
    </w:p>
    <w:p w14:paraId="594AD177" w14:textId="77777777" w:rsidR="006715E1" w:rsidRPr="00C07B39" w:rsidRDefault="006715E1" w:rsidP="006715E1">
      <w:pPr>
        <w:pStyle w:val="Default"/>
        <w:numPr>
          <w:ilvl w:val="0"/>
          <w:numId w:val="1"/>
        </w:numPr>
        <w:rPr>
          <w:sz w:val="22"/>
          <w:szCs w:val="22"/>
          <w:lang w:val="sr-Cyrl-RS"/>
        </w:rPr>
      </w:pPr>
      <w:r w:rsidRPr="00B1278B">
        <w:rPr>
          <w:sz w:val="22"/>
          <w:szCs w:val="22"/>
          <w:lang w:bidi="en-GB"/>
        </w:rPr>
        <w:t>is 100% owned by a company that meets any of the above requirements.</w:t>
      </w:r>
    </w:p>
    <w:p w14:paraId="2652B7F2" w14:textId="77777777" w:rsidR="006715E1" w:rsidRPr="00B1278B" w:rsidRDefault="006715E1" w:rsidP="006715E1">
      <w:pPr>
        <w:pStyle w:val="Default"/>
        <w:rPr>
          <w:sz w:val="22"/>
          <w:szCs w:val="22"/>
          <w:lang w:val="sr-Cyrl-RS"/>
        </w:rPr>
      </w:pPr>
    </w:p>
    <w:p w14:paraId="4E67801A" w14:textId="77777777" w:rsidR="006715E1" w:rsidRDefault="006715E1" w:rsidP="006715E1">
      <w:pPr>
        <w:pStyle w:val="Default"/>
        <w:rPr>
          <w:sz w:val="22"/>
          <w:szCs w:val="22"/>
          <w:lang w:bidi="en-GB"/>
        </w:rPr>
      </w:pPr>
      <w:r w:rsidRPr="00B1278B">
        <w:rPr>
          <w:sz w:val="22"/>
          <w:szCs w:val="22"/>
          <w:lang w:bidi="en-GB"/>
        </w:rPr>
        <w:t>Any user who does not meet the Exemption Criteria based on the rating is obliged to submit adequate Security Instruments in the form of:</w:t>
      </w:r>
    </w:p>
    <w:p w14:paraId="73AA4055" w14:textId="77777777" w:rsidR="006715E1" w:rsidRDefault="006715E1" w:rsidP="006715E1">
      <w:pPr>
        <w:pStyle w:val="ListParagraph"/>
        <w:numPr>
          <w:ilvl w:val="0"/>
          <w:numId w:val="2"/>
        </w:numPr>
        <w:jc w:val="both"/>
        <w:rPr>
          <w:rFonts w:ascii="Times New Roman" w:hAnsi="Times New Roman" w:cs="Times New Roman"/>
          <w:lang w:val="sr-Cyrl-RS"/>
        </w:rPr>
      </w:pPr>
      <w:r w:rsidRPr="006162C8">
        <w:rPr>
          <w:rFonts w:ascii="Times New Roman" w:eastAsia="Times New Roman" w:hAnsi="Times New Roman" w:cs="Times New Roman"/>
          <w:lang w:val="en-GB" w:bidi="en-GB"/>
        </w:rPr>
        <w:t xml:space="preserve">an irrevocable, unconditional bank guarantee in euros or dinars, payable upon first demand and without protest, in Serbian or English, issued in accordance with the Uniform Rules for Demand Guarantees 758 (URDG 758) by a bank licensed by the National Bank of Serbia, </w:t>
      </w:r>
      <w:proofErr w:type="gramStart"/>
      <w:r w:rsidRPr="006162C8">
        <w:rPr>
          <w:rFonts w:ascii="Times New Roman" w:eastAsia="Times New Roman" w:hAnsi="Times New Roman" w:cs="Times New Roman"/>
          <w:lang w:val="en-GB" w:bidi="en-GB"/>
        </w:rPr>
        <w:t>i.e.</w:t>
      </w:r>
      <w:proofErr w:type="gramEnd"/>
      <w:r w:rsidRPr="006162C8">
        <w:rPr>
          <w:rFonts w:ascii="Times New Roman" w:eastAsia="Times New Roman" w:hAnsi="Times New Roman" w:cs="Times New Roman"/>
          <w:lang w:val="en-GB" w:bidi="en-GB"/>
        </w:rPr>
        <w:t xml:space="preserve"> a foreign bank or international financial institution that has a rating of "BBB-" by Fitch or Standard &amp; Poor's, or "Baa3" by Moody's; and or</w:t>
      </w:r>
    </w:p>
    <w:p w14:paraId="6572E361" w14:textId="77777777" w:rsidR="006715E1" w:rsidRPr="005A3B4E" w:rsidRDefault="006715E1" w:rsidP="006715E1">
      <w:pPr>
        <w:pStyle w:val="ListParagraph"/>
        <w:numPr>
          <w:ilvl w:val="0"/>
          <w:numId w:val="2"/>
        </w:numPr>
        <w:jc w:val="both"/>
        <w:rPr>
          <w:rFonts w:ascii="Times New Roman" w:hAnsi="Times New Roman" w:cs="Times New Roman"/>
          <w:lang w:val="sr-Cyrl-RS"/>
        </w:rPr>
      </w:pPr>
      <w:r w:rsidRPr="006162C8">
        <w:rPr>
          <w:rFonts w:ascii="Times New Roman" w:eastAsia="Times New Roman" w:hAnsi="Times New Roman" w:cs="Times New Roman"/>
          <w:lang w:val="en-GB" w:bidi="en-GB"/>
        </w:rPr>
        <w:t>funds in euros or dinars, deposited in a special purpose escrow account with a bank that has a license issued by the National Bank of Serbia and which acts as an escrow agent.</w:t>
      </w:r>
    </w:p>
    <w:p w14:paraId="0389ECAA" w14:textId="77777777" w:rsidR="006715E1" w:rsidRDefault="006715E1" w:rsidP="006715E1">
      <w:pPr>
        <w:jc w:val="both"/>
        <w:rPr>
          <w:rFonts w:ascii="Times New Roman" w:hAnsi="Times New Roman" w:cs="Times New Roman"/>
        </w:rPr>
      </w:pPr>
      <w:r w:rsidRPr="00A24DDC">
        <w:rPr>
          <w:rFonts w:ascii="Times New Roman" w:hAnsi="Times New Roman" w:cs="Times New Roman"/>
        </w:rPr>
        <w:t>User may participate in an auction if it has provided to the Transporter the Credit Support as set out in the Article 5 of Network Code and if its Available Credit calculated in line with the Article 5.3.1 of Network Code and published by</w:t>
      </w:r>
      <w:r>
        <w:rPr>
          <w:rFonts w:ascii="Times New Roman" w:hAnsi="Times New Roman" w:cs="Times New Roman"/>
          <w:lang w:val="sr-Cyrl-RS"/>
        </w:rPr>
        <w:t xml:space="preserve"> </w:t>
      </w:r>
      <w:r w:rsidRPr="00FE44A0">
        <w:rPr>
          <w:rFonts w:ascii="Times New Roman" w:hAnsi="Times New Roman" w:cs="Times New Roman"/>
        </w:rPr>
        <w:t>Transporter over Capacity Booking Platform, allows it to contract at least one (1) kWh/h of the Capacity Product offered on auction.</w:t>
      </w:r>
    </w:p>
    <w:p w14:paraId="5D48E2DD" w14:textId="77777777" w:rsidR="006715E1" w:rsidRDefault="006715E1" w:rsidP="006715E1">
      <w:pPr>
        <w:jc w:val="both"/>
        <w:rPr>
          <w:rFonts w:ascii="Times New Roman" w:hAnsi="Times New Roman" w:cs="Times New Roman"/>
        </w:rPr>
      </w:pPr>
      <w:r w:rsidRPr="00400454">
        <w:rPr>
          <w:rFonts w:ascii="Times New Roman" w:hAnsi="Times New Roman" w:cs="Times New Roman"/>
        </w:rPr>
        <w:t>The Capacity Booking Platform conducts an auction by allowing participation of all Users that are verified by the Transporter as eligible to participate in such auction in line with the Article 7.5 of</w:t>
      </w:r>
      <w:r>
        <w:rPr>
          <w:rFonts w:ascii="Times New Roman" w:hAnsi="Times New Roman" w:cs="Times New Roman"/>
          <w:lang w:val="sr-Cyrl-RS"/>
        </w:rPr>
        <w:t xml:space="preserve"> </w:t>
      </w:r>
      <w:r w:rsidRPr="00400454">
        <w:rPr>
          <w:rFonts w:ascii="Times New Roman" w:hAnsi="Times New Roman" w:cs="Times New Roman"/>
        </w:rPr>
        <w:t>Network Code.</w:t>
      </w:r>
    </w:p>
    <w:p w14:paraId="50341F76" w14:textId="77777777" w:rsidR="006715E1" w:rsidRDefault="006715E1" w:rsidP="006715E1">
      <w:pPr>
        <w:jc w:val="both"/>
        <w:rPr>
          <w:rFonts w:ascii="Times New Roman" w:hAnsi="Times New Roman" w:cs="Times New Roman"/>
        </w:rPr>
      </w:pPr>
      <w:r w:rsidRPr="00265668">
        <w:rPr>
          <w:rFonts w:ascii="Times New Roman" w:hAnsi="Times New Roman" w:cs="Times New Roman"/>
        </w:rPr>
        <w:t>Users shall be notified on an individual basis on the Available Capacity that they have contracted at the relevant auction by sending Notification on Contracting the Capacity Product which notification contains the following data: Contract Capacity, Capacity Product, Transportation Start Date, Transportation End Date, Interconnection Point as Contracted Entry Point or Contracted Exit Point and Auction Price. The Transporter shall publish aggregated information of auction results by posting this information on Gastrans' website.</w:t>
      </w:r>
    </w:p>
    <w:p w14:paraId="7AA7D046" w14:textId="77777777" w:rsidR="006715E1" w:rsidRDefault="006715E1" w:rsidP="006715E1">
      <w:pPr>
        <w:autoSpaceDE w:val="0"/>
        <w:autoSpaceDN w:val="0"/>
        <w:adjustRightInd w:val="0"/>
        <w:spacing w:after="0" w:line="240" w:lineRule="auto"/>
        <w:rPr>
          <w:rFonts w:ascii="Times New Roman" w:hAnsi="Times New Roman" w:cs="Times New Roman"/>
          <w:color w:val="000000"/>
        </w:rPr>
      </w:pPr>
      <w:r w:rsidRPr="00AC286C">
        <w:rPr>
          <w:rFonts w:ascii="Times New Roman" w:hAnsi="Times New Roman" w:cs="Times New Roman"/>
          <w:color w:val="000000"/>
        </w:rPr>
        <w:t xml:space="preserve">The results for auctions of Firm Short-Term Capacity and Commercial Reverse Capacity (other than Firm Daily Capacity, Firm Within-Day Capacity, Commercial Reverse Daily Capacity and </w:t>
      </w:r>
      <w:r w:rsidRPr="00AC286C">
        <w:rPr>
          <w:rFonts w:ascii="Times New Roman" w:hAnsi="Times New Roman" w:cs="Times New Roman"/>
          <w:color w:val="000000"/>
        </w:rPr>
        <w:lastRenderedPageBreak/>
        <w:t xml:space="preserve">Interruptible Daily Capacity), shall be published on the next Business Day following the closing of auction. </w:t>
      </w:r>
    </w:p>
    <w:p w14:paraId="12EE088A" w14:textId="77777777" w:rsidR="006715E1" w:rsidRPr="00AC286C" w:rsidRDefault="006715E1" w:rsidP="006715E1">
      <w:pPr>
        <w:autoSpaceDE w:val="0"/>
        <w:autoSpaceDN w:val="0"/>
        <w:adjustRightInd w:val="0"/>
        <w:spacing w:after="0" w:line="240" w:lineRule="auto"/>
        <w:rPr>
          <w:rFonts w:ascii="Times New Roman" w:hAnsi="Times New Roman" w:cs="Times New Roman"/>
          <w:color w:val="000000"/>
        </w:rPr>
      </w:pPr>
    </w:p>
    <w:p w14:paraId="50CA5A64" w14:textId="77777777" w:rsidR="006715E1" w:rsidRDefault="006715E1" w:rsidP="006715E1">
      <w:pPr>
        <w:autoSpaceDE w:val="0"/>
        <w:autoSpaceDN w:val="0"/>
        <w:adjustRightInd w:val="0"/>
        <w:spacing w:after="0" w:line="240" w:lineRule="auto"/>
        <w:rPr>
          <w:rFonts w:ascii="Times New Roman" w:hAnsi="Times New Roman" w:cs="Times New Roman"/>
          <w:color w:val="000000"/>
        </w:rPr>
      </w:pPr>
      <w:r w:rsidRPr="00AC286C">
        <w:rPr>
          <w:rFonts w:ascii="Times New Roman" w:hAnsi="Times New Roman" w:cs="Times New Roman"/>
          <w:color w:val="000000"/>
        </w:rPr>
        <w:t xml:space="preserve">Results for Firm Daily Capacity, Firm Within-Day Capacity, Commercial Reverse Daily Capacity and Interruptible Daily Capacity auctions, shall be published no later than thirty (30) minutes after the closing of auction. </w:t>
      </w:r>
    </w:p>
    <w:p w14:paraId="7DFA9A5F" w14:textId="77777777" w:rsidR="006715E1" w:rsidRPr="00AC286C" w:rsidRDefault="006715E1" w:rsidP="006715E1">
      <w:pPr>
        <w:autoSpaceDE w:val="0"/>
        <w:autoSpaceDN w:val="0"/>
        <w:adjustRightInd w:val="0"/>
        <w:spacing w:after="0" w:line="240" w:lineRule="auto"/>
        <w:rPr>
          <w:rFonts w:ascii="Times New Roman" w:hAnsi="Times New Roman" w:cs="Times New Roman"/>
          <w:color w:val="000000"/>
        </w:rPr>
      </w:pPr>
    </w:p>
    <w:p w14:paraId="12012BDF" w14:textId="77777777" w:rsidR="006715E1" w:rsidRDefault="006715E1" w:rsidP="006715E1">
      <w:pPr>
        <w:autoSpaceDE w:val="0"/>
        <w:autoSpaceDN w:val="0"/>
        <w:adjustRightInd w:val="0"/>
        <w:spacing w:after="0" w:line="240" w:lineRule="auto"/>
        <w:rPr>
          <w:rFonts w:ascii="Times New Roman" w:hAnsi="Times New Roman" w:cs="Times New Roman"/>
          <w:color w:val="000000"/>
        </w:rPr>
      </w:pPr>
      <w:r w:rsidRPr="00AC286C">
        <w:rPr>
          <w:rFonts w:ascii="Times New Roman" w:hAnsi="Times New Roman" w:cs="Times New Roman"/>
          <w:color w:val="000000"/>
        </w:rPr>
        <w:t>Day of delivering of Notification on Contracting the Capacity Product to the User through Capacity Booking Platform is the day in which requested volume and type of the Capacity Product for the transport on the requested Entry Point or Exit Point is considered contracted (“</w:t>
      </w:r>
      <w:r w:rsidRPr="00AC286C">
        <w:rPr>
          <w:rFonts w:ascii="Times New Roman" w:hAnsi="Times New Roman" w:cs="Times New Roman"/>
          <w:b/>
          <w:bCs/>
          <w:color w:val="000000"/>
        </w:rPr>
        <w:t>Contracted Capacity</w:t>
      </w:r>
      <w:r w:rsidRPr="00AC286C">
        <w:rPr>
          <w:rFonts w:ascii="Times New Roman" w:hAnsi="Times New Roman" w:cs="Times New Roman"/>
          <w:color w:val="000000"/>
        </w:rPr>
        <w:t xml:space="preserve">”). </w:t>
      </w:r>
    </w:p>
    <w:p w14:paraId="51FCB924" w14:textId="77777777" w:rsidR="006715E1" w:rsidRPr="00AC286C" w:rsidRDefault="006715E1" w:rsidP="006715E1">
      <w:pPr>
        <w:autoSpaceDE w:val="0"/>
        <w:autoSpaceDN w:val="0"/>
        <w:adjustRightInd w:val="0"/>
        <w:spacing w:after="0" w:line="240" w:lineRule="auto"/>
        <w:rPr>
          <w:rFonts w:ascii="Times New Roman" w:hAnsi="Times New Roman" w:cs="Times New Roman"/>
          <w:color w:val="000000"/>
        </w:rPr>
      </w:pPr>
    </w:p>
    <w:p w14:paraId="67577D95" w14:textId="77777777" w:rsidR="006715E1" w:rsidRDefault="006715E1" w:rsidP="006715E1">
      <w:pPr>
        <w:jc w:val="both"/>
        <w:rPr>
          <w:rFonts w:ascii="Times New Roman" w:hAnsi="Times New Roman" w:cs="Times New Roman"/>
          <w:color w:val="000000"/>
        </w:rPr>
      </w:pPr>
      <w:r w:rsidRPr="00AC286C">
        <w:rPr>
          <w:rFonts w:ascii="Times New Roman" w:hAnsi="Times New Roman" w:cs="Times New Roman"/>
          <w:color w:val="000000"/>
        </w:rPr>
        <w:t>As from the day of delivery of Notification on Contracting the Capacity Product to the User through Capacity Booking Platform, the Transporter becomes obliged to enable the provision of the Gas Transmission Service to the User in the Contracted Capacity starting from the Gas Day which is determined as the start of the gas transmission in the Notification on Contracting the Capacity Product, from which Gas Day User is entitled to deliver Gas for transport at the Contracted Entry Point or to take over Gas at the Contracted Exit Point in the Contracted Capacity.</w:t>
      </w:r>
    </w:p>
    <w:p w14:paraId="22799F5D" w14:textId="77777777" w:rsidR="006715E1" w:rsidRPr="00F1553E" w:rsidRDefault="006715E1" w:rsidP="006715E1">
      <w:pPr>
        <w:jc w:val="both"/>
        <w:rPr>
          <w:rFonts w:ascii="Times New Roman" w:hAnsi="Times New Roman" w:cs="Times New Roman"/>
          <w:color w:val="000000"/>
          <w:lang w:val="en-US"/>
        </w:rPr>
      </w:pPr>
      <w:r w:rsidRPr="009C55A5">
        <w:rPr>
          <w:rFonts w:ascii="Times New Roman" w:hAnsi="Times New Roman" w:cs="Times New Roman"/>
          <w:color w:val="000000"/>
        </w:rPr>
        <w:t xml:space="preserve">After this </w:t>
      </w:r>
      <w:r>
        <w:rPr>
          <w:rFonts w:ascii="Times New Roman" w:hAnsi="Times New Roman" w:cs="Times New Roman"/>
          <w:color w:val="000000"/>
        </w:rPr>
        <w:t>you</w:t>
      </w:r>
      <w:r w:rsidRPr="009C55A5">
        <w:rPr>
          <w:rFonts w:ascii="Times New Roman" w:hAnsi="Times New Roman" w:cs="Times New Roman"/>
          <w:color w:val="000000"/>
        </w:rPr>
        <w:t xml:space="preserve"> move on to:</w:t>
      </w:r>
    </w:p>
    <w:p w14:paraId="2EE36B48" w14:textId="77777777" w:rsidR="006715E1" w:rsidRDefault="006715E1" w:rsidP="006715E1">
      <w:pPr>
        <w:ind w:firstLine="708"/>
        <w:jc w:val="both"/>
        <w:rPr>
          <w:rFonts w:ascii="Times New Roman" w:hAnsi="Times New Roman" w:cs="Times New Roman"/>
          <w:lang w:val="en-US"/>
        </w:rPr>
      </w:pPr>
      <w:r w:rsidRPr="00A24DD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CHAPTER 12. NOMINATION</w:t>
      </w:r>
    </w:p>
    <w:p w14:paraId="65978158" w14:textId="77777777" w:rsidR="006715E1" w:rsidRDefault="006715E1" w:rsidP="006715E1">
      <w:pPr>
        <w:ind w:left="708" w:firstLine="708"/>
        <w:jc w:val="both"/>
        <w:rPr>
          <w:rFonts w:ascii="Times New Roman" w:hAnsi="Times New Roman" w:cs="Times New Roman"/>
        </w:rPr>
      </w:pPr>
      <w:r>
        <w:rPr>
          <w:rFonts w:ascii="Times New Roman" w:hAnsi="Times New Roman" w:cs="Times New Roman"/>
          <w:lang w:val="en-US"/>
        </w:rPr>
        <w:t xml:space="preserve">CHAPTER 13. </w:t>
      </w:r>
      <w:r w:rsidRPr="002D0B97">
        <w:rPr>
          <w:rFonts w:ascii="Times New Roman" w:hAnsi="Times New Roman" w:cs="Times New Roman"/>
        </w:rPr>
        <w:t>MATCHING AND CONFIRMATIONS</w:t>
      </w:r>
    </w:p>
    <w:p w14:paraId="0D157B38" w14:textId="77777777" w:rsidR="008373CA" w:rsidRDefault="008373CA"/>
    <w:sectPr w:rsidR="00837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4026"/>
    <w:multiLevelType w:val="hybridMultilevel"/>
    <w:tmpl w:val="AA2E2A4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711F91"/>
    <w:multiLevelType w:val="multilevel"/>
    <w:tmpl w:val="54EC5E86"/>
    <w:lvl w:ilvl="0">
      <w:start w:val="1"/>
      <w:numFmt w:val="decimal"/>
      <w:lvlText w:val="%1."/>
      <w:lvlJc w:val="left"/>
      <w:pPr>
        <w:ind w:left="1776" w:hanging="360"/>
      </w:pPr>
      <w:rPr>
        <w:rFonts w:ascii="Times New Roman" w:eastAsia="STZhongsong" w:hAnsi="Times New Roman" w:cs="Times New Roman"/>
      </w:rPr>
    </w:lvl>
    <w:lvl w:ilvl="1">
      <w:start w:val="1"/>
      <w:numFmt w:val="decimal"/>
      <w:isLgl/>
      <w:lvlText w:val="%1.%2"/>
      <w:lvlJc w:val="left"/>
      <w:pPr>
        <w:ind w:left="2136" w:hanging="36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216" w:hanging="72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296" w:hanging="1080"/>
      </w:pPr>
      <w:rPr>
        <w:rFonts w:hint="default"/>
      </w:rPr>
    </w:lvl>
    <w:lvl w:ilvl="6">
      <w:start w:val="1"/>
      <w:numFmt w:val="decimal"/>
      <w:isLgl/>
      <w:lvlText w:val="%1.%2.%3.%4.%5.%6.%7"/>
      <w:lvlJc w:val="left"/>
      <w:pPr>
        <w:ind w:left="5016" w:hanging="1440"/>
      </w:pPr>
      <w:rPr>
        <w:rFonts w:hint="default"/>
      </w:rPr>
    </w:lvl>
    <w:lvl w:ilvl="7">
      <w:start w:val="1"/>
      <w:numFmt w:val="decimal"/>
      <w:isLgl/>
      <w:lvlText w:val="%1.%2.%3.%4.%5.%6.%7.%8"/>
      <w:lvlJc w:val="left"/>
      <w:pPr>
        <w:ind w:left="5376" w:hanging="1440"/>
      </w:pPr>
      <w:rPr>
        <w:rFonts w:hint="default"/>
      </w:rPr>
    </w:lvl>
    <w:lvl w:ilvl="8">
      <w:start w:val="1"/>
      <w:numFmt w:val="decimal"/>
      <w:isLgl/>
      <w:lvlText w:val="%1.%2.%3.%4.%5.%6.%7.%8.%9"/>
      <w:lvlJc w:val="left"/>
      <w:pPr>
        <w:ind w:left="5736"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E1"/>
    <w:rsid w:val="00411E6A"/>
    <w:rsid w:val="006715E1"/>
    <w:rsid w:val="008373CA"/>
    <w:rsid w:val="00AF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1D0F"/>
  <w15:chartTrackingRefBased/>
  <w15:docId w15:val="{090CB6D1-8FE4-4733-9B02-209AB3C7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5E1"/>
    <w:rPr>
      <w:lang w:val="sr-Latn-RS"/>
    </w:rPr>
  </w:style>
  <w:style w:type="paragraph" w:styleId="Heading1">
    <w:name w:val="heading 1"/>
    <w:basedOn w:val="Normal"/>
    <w:next w:val="Normal"/>
    <w:link w:val="Heading1Char"/>
    <w:uiPriority w:val="9"/>
    <w:qFormat/>
    <w:rsid w:val="00411E6A"/>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E6A"/>
    <w:rPr>
      <w:rFonts w:asciiTheme="majorHAnsi" w:eastAsiaTheme="majorEastAsia" w:hAnsiTheme="majorHAnsi" w:cstheme="majorBidi"/>
      <w:sz w:val="32"/>
      <w:szCs w:val="32"/>
    </w:rPr>
  </w:style>
  <w:style w:type="paragraph" w:customStyle="1" w:styleId="Default">
    <w:name w:val="Default"/>
    <w:rsid w:val="006715E1"/>
    <w:pPr>
      <w:autoSpaceDE w:val="0"/>
      <w:autoSpaceDN w:val="0"/>
      <w:adjustRightInd w:val="0"/>
      <w:spacing w:after="0" w:line="240" w:lineRule="auto"/>
    </w:pPr>
    <w:rPr>
      <w:rFonts w:ascii="Times New Roman" w:hAnsi="Times New Roman" w:cs="Times New Roman"/>
      <w:color w:val="000000"/>
      <w:sz w:val="24"/>
      <w:szCs w:val="24"/>
      <w:lang w:val="sr-Latn-RS"/>
    </w:rPr>
  </w:style>
  <w:style w:type="paragraph" w:styleId="ListParagraph">
    <w:name w:val="List Paragraph"/>
    <w:basedOn w:val="Normal"/>
    <w:link w:val="ListParagraphChar"/>
    <w:uiPriority w:val="1"/>
    <w:qFormat/>
    <w:rsid w:val="006715E1"/>
    <w:pPr>
      <w:ind w:left="720"/>
      <w:contextualSpacing/>
    </w:pPr>
    <w:rPr>
      <w:lang w:val="en-US"/>
    </w:rPr>
  </w:style>
  <w:style w:type="character" w:customStyle="1" w:styleId="ListParagraphChar">
    <w:name w:val="List Paragraph Char"/>
    <w:link w:val="ListParagraph"/>
    <w:uiPriority w:val="1"/>
    <w:locked/>
    <w:rsid w:val="006715E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Kapusta</dc:creator>
  <cp:keywords/>
  <dc:description/>
  <cp:lastModifiedBy>Andrej Kapusta</cp:lastModifiedBy>
  <cp:revision>1</cp:revision>
  <dcterms:created xsi:type="dcterms:W3CDTF">2021-02-23T11:27:00Z</dcterms:created>
  <dcterms:modified xsi:type="dcterms:W3CDTF">2021-02-23T11:27:00Z</dcterms:modified>
</cp:coreProperties>
</file>